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393" w:rsidRPr="000A0215" w:rsidRDefault="00284393" w:rsidP="00284393">
      <w:pPr>
        <w:spacing w:after="0" w:line="240" w:lineRule="auto"/>
        <w:jc w:val="center"/>
        <w:rPr>
          <w:rFonts w:eastAsia="Times New Roman" w:cs="Calibri"/>
          <w:b/>
        </w:rPr>
      </w:pPr>
      <w:r w:rsidRPr="000A0215">
        <w:rPr>
          <w:rFonts w:eastAsia="Times New Roman" w:cs="Calibri"/>
          <w:noProof/>
          <w:lang w:eastAsia="fr-FR"/>
        </w:rPr>
        <w:drawing>
          <wp:inline distT="0" distB="0" distL="0" distR="0">
            <wp:extent cx="252095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950" cy="476250"/>
                    </a:xfrm>
                    <a:prstGeom prst="rect">
                      <a:avLst/>
                    </a:prstGeom>
                    <a:noFill/>
                    <a:ln>
                      <a:noFill/>
                    </a:ln>
                  </pic:spPr>
                </pic:pic>
              </a:graphicData>
            </a:graphic>
          </wp:inline>
        </w:drawing>
      </w:r>
    </w:p>
    <w:p w:rsidR="00284393" w:rsidRPr="000A0215" w:rsidRDefault="00284393" w:rsidP="00284393">
      <w:pPr>
        <w:spacing w:after="0" w:line="240" w:lineRule="auto"/>
        <w:jc w:val="both"/>
        <w:rPr>
          <w:rFonts w:eastAsia="Times New Roman" w:cs="Calibri"/>
          <w:b/>
        </w:rPr>
      </w:pPr>
    </w:p>
    <w:p w:rsidR="00284393" w:rsidRPr="000A0215" w:rsidRDefault="00284393" w:rsidP="00284393">
      <w:pPr>
        <w:spacing w:after="0" w:line="240" w:lineRule="auto"/>
        <w:jc w:val="center"/>
        <w:rPr>
          <w:rFonts w:eastAsia="Times New Roman" w:cs="Calibri"/>
          <w:b/>
        </w:rPr>
      </w:pPr>
      <w:r w:rsidRPr="000A0215">
        <w:rPr>
          <w:rFonts w:eastAsia="Times New Roman" w:cs="Calibri"/>
          <w:b/>
        </w:rPr>
        <w:t>École doctorale Humanités nouvelles – Fernand Braudel</w:t>
      </w:r>
    </w:p>
    <w:p w:rsidR="00284393" w:rsidRPr="000A0215" w:rsidRDefault="00284393" w:rsidP="00284393">
      <w:pPr>
        <w:spacing w:after="0" w:line="240" w:lineRule="auto"/>
        <w:jc w:val="center"/>
        <w:rPr>
          <w:rFonts w:eastAsia="Times New Roman" w:cs="Calibri"/>
          <w:b/>
        </w:rPr>
      </w:pPr>
    </w:p>
    <w:p w:rsidR="00284393" w:rsidRPr="000A0215" w:rsidRDefault="00284393" w:rsidP="00284393">
      <w:pPr>
        <w:spacing w:after="0" w:line="240" w:lineRule="auto"/>
        <w:jc w:val="center"/>
        <w:rPr>
          <w:rFonts w:eastAsia="Times New Roman" w:cs="Calibri"/>
          <w:b/>
        </w:rPr>
      </w:pPr>
      <w:r w:rsidRPr="000A0215">
        <w:rPr>
          <w:rFonts w:eastAsia="Times New Roman" w:cs="Calibri"/>
          <w:b/>
        </w:rPr>
        <w:t>Compte rendu du Conseil</w:t>
      </w:r>
    </w:p>
    <w:p w:rsidR="00284393" w:rsidRPr="000A0215" w:rsidRDefault="00284393" w:rsidP="00284393">
      <w:pPr>
        <w:spacing w:after="0" w:line="240" w:lineRule="auto"/>
        <w:jc w:val="center"/>
        <w:rPr>
          <w:rFonts w:eastAsia="Times New Roman" w:cs="Calibri"/>
          <w:b/>
        </w:rPr>
      </w:pPr>
    </w:p>
    <w:p w:rsidR="00284393" w:rsidRPr="000A0215" w:rsidRDefault="00284393" w:rsidP="00284393">
      <w:pPr>
        <w:spacing w:after="0" w:line="240" w:lineRule="auto"/>
        <w:jc w:val="center"/>
        <w:rPr>
          <w:rFonts w:eastAsia="Times New Roman" w:cs="Calibri"/>
          <w:b/>
        </w:rPr>
      </w:pPr>
      <w:r w:rsidRPr="000A0215">
        <w:rPr>
          <w:rFonts w:eastAsia="Times New Roman" w:cs="Calibri"/>
          <w:b/>
        </w:rPr>
        <w:t>Lundi 27 mars 2023</w:t>
      </w:r>
    </w:p>
    <w:p w:rsidR="00284393" w:rsidRPr="000A0215" w:rsidRDefault="00284393" w:rsidP="00284393">
      <w:pPr>
        <w:spacing w:after="0" w:line="240" w:lineRule="auto"/>
        <w:jc w:val="center"/>
        <w:rPr>
          <w:rFonts w:eastAsia="Times New Roman" w:cs="Calibri"/>
          <w:b/>
        </w:rPr>
      </w:pPr>
      <w:r w:rsidRPr="000A0215">
        <w:rPr>
          <w:rFonts w:eastAsia="Times New Roman" w:cs="Calibri"/>
          <w:b/>
        </w:rPr>
        <w:t>14h00-17h</w:t>
      </w:r>
      <w:r w:rsidR="005A4875" w:rsidRPr="000A0215">
        <w:rPr>
          <w:rFonts w:eastAsia="Times New Roman" w:cs="Calibri"/>
          <w:b/>
        </w:rPr>
        <w:t>45</w:t>
      </w:r>
    </w:p>
    <w:p w:rsidR="00284393" w:rsidRPr="000A0215" w:rsidRDefault="00284393" w:rsidP="00284393">
      <w:pPr>
        <w:spacing w:after="0" w:line="240" w:lineRule="auto"/>
        <w:jc w:val="center"/>
        <w:rPr>
          <w:rFonts w:eastAsia="Times New Roman" w:cs="Calibri"/>
          <w:b/>
        </w:rPr>
      </w:pPr>
      <w:r w:rsidRPr="000A0215">
        <w:rPr>
          <w:rFonts w:eastAsia="Times New Roman" w:cs="Calibri"/>
          <w:b/>
        </w:rPr>
        <w:t>(Visio-Team)</w:t>
      </w:r>
    </w:p>
    <w:p w:rsidR="00284393" w:rsidRPr="000A0215" w:rsidRDefault="00284393" w:rsidP="00284393">
      <w:pPr>
        <w:spacing w:after="0" w:line="240" w:lineRule="auto"/>
        <w:jc w:val="both"/>
        <w:rPr>
          <w:rFonts w:eastAsia="Times New Roman" w:cs="Calibri"/>
          <w:b/>
        </w:rPr>
      </w:pPr>
    </w:p>
    <w:p w:rsidR="00284393" w:rsidRPr="000A0215" w:rsidRDefault="00284393" w:rsidP="00284393">
      <w:pPr>
        <w:spacing w:after="0" w:line="240" w:lineRule="auto"/>
        <w:jc w:val="both"/>
        <w:rPr>
          <w:rFonts w:eastAsia="Times New Roman" w:cs="Calibri"/>
          <w:lang w:eastAsia="fr-FR"/>
        </w:rPr>
      </w:pPr>
    </w:p>
    <w:p w:rsidR="00284393" w:rsidRPr="000A0215" w:rsidRDefault="00284393" w:rsidP="00284393">
      <w:pPr>
        <w:spacing w:after="0" w:line="240" w:lineRule="auto"/>
        <w:jc w:val="both"/>
        <w:rPr>
          <w:rFonts w:eastAsia="Times New Roman" w:cs="Calibri"/>
          <w:b/>
          <w:i/>
          <w:lang w:eastAsia="fr-FR"/>
        </w:rPr>
      </w:pPr>
      <w:r w:rsidRPr="000A0215">
        <w:rPr>
          <w:rFonts w:eastAsia="Times New Roman" w:cs="Calibri"/>
          <w:b/>
          <w:i/>
          <w:lang w:eastAsia="fr-FR"/>
        </w:rPr>
        <w:t>Membres présents</w:t>
      </w:r>
    </w:p>
    <w:p w:rsidR="00284393" w:rsidRPr="000A0215" w:rsidRDefault="006A15B2" w:rsidP="00284393">
      <w:pPr>
        <w:spacing w:after="0" w:line="240" w:lineRule="auto"/>
        <w:jc w:val="both"/>
        <w:rPr>
          <w:rFonts w:eastAsia="Times New Roman" w:cs="Calibri"/>
          <w:lang w:eastAsia="fr-FR"/>
        </w:rPr>
      </w:pPr>
      <w:r w:rsidRPr="000A0215">
        <w:rPr>
          <w:rFonts w:eastAsia="Times New Roman" w:cs="Calibri"/>
          <w:lang w:eastAsia="fr-FR"/>
        </w:rPr>
        <w:t xml:space="preserve">Stéphanie Bertrand, </w:t>
      </w:r>
      <w:r w:rsidR="00284393" w:rsidRPr="000A0215">
        <w:rPr>
          <w:rFonts w:eastAsia="Times New Roman" w:cs="Calibri"/>
          <w:lang w:eastAsia="fr-FR"/>
        </w:rPr>
        <w:t xml:space="preserve">Nathalie Collé, Béatrice Fleury, </w:t>
      </w:r>
      <w:r w:rsidR="00284393" w:rsidRPr="000A0215">
        <w:rPr>
          <w:rFonts w:eastAsia="Times New Roman" w:cs="Calibri"/>
          <w:color w:val="000000"/>
          <w:lang w:eastAsia="fr-FR"/>
        </w:rPr>
        <w:t xml:space="preserve">Manon </w:t>
      </w:r>
      <w:proofErr w:type="spellStart"/>
      <w:r w:rsidR="00284393" w:rsidRPr="000A0215">
        <w:rPr>
          <w:rFonts w:eastAsia="Times New Roman" w:cs="Calibri"/>
          <w:color w:val="000000"/>
          <w:lang w:eastAsia="fr-FR"/>
        </w:rPr>
        <w:t>Kuffer</w:t>
      </w:r>
      <w:proofErr w:type="spellEnd"/>
      <w:r w:rsidR="00284393" w:rsidRPr="000A0215">
        <w:rPr>
          <w:rFonts w:eastAsia="Times New Roman" w:cs="Calibri"/>
          <w:color w:val="000000"/>
          <w:lang w:eastAsia="fr-FR"/>
        </w:rPr>
        <w:t xml:space="preserve">, </w:t>
      </w:r>
      <w:r w:rsidRPr="000A0215">
        <w:rPr>
          <w:rFonts w:eastAsia="Times New Roman" w:cs="Calibri"/>
          <w:lang w:eastAsia="fr-FR"/>
        </w:rPr>
        <w:t xml:space="preserve">Françoise </w:t>
      </w:r>
      <w:proofErr w:type="spellStart"/>
      <w:r w:rsidRPr="000A0215">
        <w:rPr>
          <w:rFonts w:eastAsia="Times New Roman" w:cs="Calibri"/>
          <w:lang w:eastAsia="fr-FR"/>
        </w:rPr>
        <w:t>Lartillot</w:t>
      </w:r>
      <w:proofErr w:type="spellEnd"/>
      <w:r w:rsidRPr="000A0215">
        <w:rPr>
          <w:rFonts w:eastAsia="Times New Roman" w:cs="Calibri"/>
          <w:lang w:eastAsia="fr-FR"/>
        </w:rPr>
        <w:t xml:space="preserve">, </w:t>
      </w:r>
      <w:r w:rsidR="00284393" w:rsidRPr="000A0215">
        <w:rPr>
          <w:rFonts w:eastAsia="Times New Roman" w:cs="Calibri"/>
          <w:color w:val="000000"/>
          <w:lang w:eastAsia="fr-FR"/>
        </w:rPr>
        <w:t xml:space="preserve">Hajer </w:t>
      </w:r>
      <w:proofErr w:type="spellStart"/>
      <w:r w:rsidR="00284393" w:rsidRPr="000A0215">
        <w:rPr>
          <w:rFonts w:eastAsia="Times New Roman" w:cs="Calibri"/>
          <w:color w:val="000000"/>
          <w:lang w:eastAsia="fr-FR"/>
        </w:rPr>
        <w:t>Mestaysser</w:t>
      </w:r>
      <w:proofErr w:type="spellEnd"/>
      <w:r w:rsidR="00284393" w:rsidRPr="000A0215">
        <w:rPr>
          <w:rFonts w:eastAsia="Times New Roman" w:cs="Calibri"/>
          <w:color w:val="000000"/>
          <w:lang w:eastAsia="fr-FR"/>
        </w:rPr>
        <w:t xml:space="preserve">, </w:t>
      </w:r>
      <w:r w:rsidR="00284393" w:rsidRPr="000A0215">
        <w:rPr>
          <w:rFonts w:eastAsia="Times New Roman" w:cs="Calibri"/>
          <w:lang w:eastAsia="fr-FR"/>
        </w:rPr>
        <w:t xml:space="preserve">Aude Meziani, Fabrice Montebello, </w:t>
      </w:r>
      <w:r w:rsidR="00284393" w:rsidRPr="000A0215">
        <w:rPr>
          <w:rFonts w:eastAsia="Times New Roman" w:cs="Calibri"/>
          <w:color w:val="000000"/>
          <w:lang w:eastAsia="fr-FR"/>
        </w:rPr>
        <w:t xml:space="preserve">Thomas </w:t>
      </w:r>
      <w:proofErr w:type="spellStart"/>
      <w:r w:rsidR="00284393" w:rsidRPr="000A0215">
        <w:rPr>
          <w:rFonts w:eastAsia="Times New Roman" w:cs="Calibri"/>
          <w:color w:val="000000"/>
          <w:lang w:eastAsia="fr-FR"/>
        </w:rPr>
        <w:t>Petruzzella</w:t>
      </w:r>
      <w:proofErr w:type="spellEnd"/>
      <w:r w:rsidR="00284393" w:rsidRPr="000A0215">
        <w:rPr>
          <w:rFonts w:eastAsia="Times New Roman" w:cs="Calibri"/>
          <w:color w:val="000000"/>
          <w:lang w:eastAsia="fr-FR"/>
        </w:rPr>
        <w:t xml:space="preserve">, Lucie </w:t>
      </w:r>
      <w:proofErr w:type="spellStart"/>
      <w:r w:rsidR="00284393" w:rsidRPr="000A0215">
        <w:rPr>
          <w:rFonts w:eastAsia="Times New Roman" w:cs="Calibri"/>
          <w:color w:val="000000"/>
          <w:lang w:eastAsia="fr-FR"/>
        </w:rPr>
        <w:t>Rydzek</w:t>
      </w:r>
      <w:proofErr w:type="spellEnd"/>
      <w:r w:rsidR="00284393" w:rsidRPr="000A0215">
        <w:rPr>
          <w:rFonts w:eastAsia="Times New Roman" w:cs="Calibri"/>
          <w:color w:val="000000"/>
          <w:lang w:eastAsia="fr-FR"/>
        </w:rPr>
        <w:t xml:space="preserve"> (suppléante), </w:t>
      </w:r>
      <w:r w:rsidR="00284393" w:rsidRPr="000A0215">
        <w:rPr>
          <w:rFonts w:eastAsia="Times New Roman" w:cs="Calibri"/>
          <w:lang w:eastAsia="fr-FR"/>
        </w:rPr>
        <w:t>Isabelle Vitry,</w:t>
      </w:r>
      <w:r w:rsidR="00284393" w:rsidRPr="000A0215">
        <w:rPr>
          <w:rFonts w:eastAsia="Times New Roman" w:cs="Calibri"/>
          <w:color w:val="000000"/>
          <w:lang w:eastAsia="fr-FR"/>
        </w:rPr>
        <w:t xml:space="preserve"> </w:t>
      </w:r>
      <w:proofErr w:type="spellStart"/>
      <w:r w:rsidR="00284393" w:rsidRPr="000A0215">
        <w:rPr>
          <w:rFonts w:eastAsia="Times New Roman" w:cs="Calibri"/>
          <w:color w:val="000000"/>
          <w:lang w:eastAsia="fr-FR"/>
        </w:rPr>
        <w:t>Chrystalle</w:t>
      </w:r>
      <w:proofErr w:type="spellEnd"/>
      <w:r w:rsidR="00284393" w:rsidRPr="000A0215">
        <w:rPr>
          <w:rFonts w:eastAsia="Times New Roman" w:cs="Calibri"/>
          <w:color w:val="000000"/>
          <w:lang w:eastAsia="fr-FR"/>
        </w:rPr>
        <w:t xml:space="preserve"> </w:t>
      </w:r>
      <w:proofErr w:type="spellStart"/>
      <w:r w:rsidR="00284393" w:rsidRPr="000A0215">
        <w:rPr>
          <w:rFonts w:eastAsia="Times New Roman" w:cs="Calibri"/>
          <w:color w:val="000000"/>
          <w:lang w:eastAsia="fr-FR"/>
        </w:rPr>
        <w:t>Zebdi</w:t>
      </w:r>
      <w:proofErr w:type="spellEnd"/>
      <w:r w:rsidR="00284393" w:rsidRPr="000A0215">
        <w:rPr>
          <w:rFonts w:eastAsia="Times New Roman" w:cs="Calibri"/>
          <w:color w:val="000000"/>
          <w:lang w:eastAsia="fr-FR"/>
        </w:rPr>
        <w:t>-Bartz</w:t>
      </w:r>
      <w:r w:rsidRPr="000A0215">
        <w:rPr>
          <w:rFonts w:eastAsia="Times New Roman" w:cs="Calibri"/>
          <w:color w:val="000000"/>
          <w:lang w:eastAsia="fr-FR"/>
        </w:rPr>
        <w:t>.</w:t>
      </w:r>
    </w:p>
    <w:p w:rsidR="00284393" w:rsidRPr="000A0215" w:rsidRDefault="00284393" w:rsidP="00284393">
      <w:pPr>
        <w:spacing w:after="0" w:line="240" w:lineRule="auto"/>
        <w:jc w:val="both"/>
        <w:rPr>
          <w:rFonts w:eastAsia="Times New Roman" w:cs="Calibri"/>
          <w:lang w:eastAsia="fr-FR"/>
        </w:rPr>
      </w:pPr>
    </w:p>
    <w:p w:rsidR="00284393" w:rsidRPr="000A0215" w:rsidRDefault="00284393" w:rsidP="00284393">
      <w:pPr>
        <w:spacing w:after="0" w:line="240" w:lineRule="auto"/>
        <w:jc w:val="both"/>
        <w:rPr>
          <w:rFonts w:eastAsia="Times New Roman" w:cs="Calibri"/>
          <w:b/>
          <w:i/>
          <w:lang w:eastAsia="fr-FR"/>
        </w:rPr>
      </w:pPr>
      <w:r w:rsidRPr="000A0215">
        <w:rPr>
          <w:rFonts w:eastAsia="Times New Roman" w:cs="Calibri"/>
          <w:b/>
          <w:i/>
          <w:lang w:eastAsia="fr-FR"/>
        </w:rPr>
        <w:t>Membres excusés</w:t>
      </w:r>
    </w:p>
    <w:p w:rsidR="00284393" w:rsidRPr="000A0215" w:rsidRDefault="006A15B2" w:rsidP="00284393">
      <w:pPr>
        <w:spacing w:after="0" w:line="240" w:lineRule="auto"/>
        <w:jc w:val="both"/>
        <w:rPr>
          <w:rFonts w:eastAsia="Times New Roman" w:cs="Calibri"/>
          <w:lang w:eastAsia="fr-FR"/>
        </w:rPr>
      </w:pPr>
      <w:r w:rsidRPr="000A0215">
        <w:rPr>
          <w:rFonts w:eastAsia="Times New Roman" w:cs="Calibri"/>
          <w:lang w:eastAsia="fr-FR"/>
        </w:rPr>
        <w:t xml:space="preserve">Isabelle Brian, </w:t>
      </w:r>
      <w:r w:rsidR="00284393" w:rsidRPr="000A0215">
        <w:rPr>
          <w:rFonts w:eastAsia="Times New Roman" w:cs="Calibri"/>
          <w:lang w:eastAsia="fr-FR"/>
        </w:rPr>
        <w:t xml:space="preserve">Véronique </w:t>
      </w:r>
      <w:proofErr w:type="spellStart"/>
      <w:r w:rsidR="00284393" w:rsidRPr="000A0215">
        <w:rPr>
          <w:rFonts w:eastAsia="Times New Roman" w:cs="Calibri"/>
          <w:lang w:eastAsia="fr-FR"/>
        </w:rPr>
        <w:t>Cnockaert</w:t>
      </w:r>
      <w:proofErr w:type="spellEnd"/>
      <w:r w:rsidR="00284393" w:rsidRPr="000A0215">
        <w:rPr>
          <w:rFonts w:eastAsia="Times New Roman" w:cs="Calibri"/>
          <w:lang w:eastAsia="fr-FR"/>
        </w:rPr>
        <w:t>, Julie d’</w:t>
      </w:r>
      <w:proofErr w:type="spellStart"/>
      <w:r w:rsidR="00284393" w:rsidRPr="000A0215">
        <w:rPr>
          <w:rFonts w:eastAsia="Times New Roman" w:cs="Calibri"/>
          <w:lang w:eastAsia="fr-FR"/>
        </w:rPr>
        <w:t>Andurain</w:t>
      </w:r>
      <w:proofErr w:type="spellEnd"/>
      <w:r w:rsidR="00284393" w:rsidRPr="000A0215">
        <w:rPr>
          <w:rFonts w:eastAsia="Times New Roman" w:cs="Calibri"/>
          <w:lang w:eastAsia="fr-FR"/>
        </w:rPr>
        <w:t xml:space="preserve">, Catherine Deschamps, </w:t>
      </w:r>
      <w:r w:rsidRPr="000A0215">
        <w:rPr>
          <w:rFonts w:eastAsia="Times New Roman" w:cs="Calibri"/>
          <w:lang w:eastAsia="fr-FR"/>
        </w:rPr>
        <w:t>Gilles Drogue,</w:t>
      </w:r>
      <w:r w:rsidR="005A0A9F" w:rsidRPr="000A0215">
        <w:rPr>
          <w:rFonts w:eastAsia="Times New Roman" w:cs="Calibri"/>
          <w:lang w:eastAsia="fr-FR"/>
        </w:rPr>
        <w:t xml:space="preserve"> Anne Feler,</w:t>
      </w:r>
      <w:r w:rsidRPr="000A0215">
        <w:rPr>
          <w:rFonts w:eastAsia="Times New Roman" w:cs="Calibri"/>
          <w:lang w:eastAsia="fr-FR"/>
        </w:rPr>
        <w:t xml:space="preserve"> </w:t>
      </w:r>
      <w:r w:rsidR="00284393" w:rsidRPr="000A0215">
        <w:rPr>
          <w:rFonts w:eastAsia="Times New Roman" w:cs="Calibri"/>
          <w:lang w:eastAsia="fr-FR"/>
        </w:rPr>
        <w:t xml:space="preserve">Didier Francfort, Sylvie </w:t>
      </w:r>
      <w:proofErr w:type="spellStart"/>
      <w:r w:rsidR="00284393" w:rsidRPr="000A0215">
        <w:rPr>
          <w:rFonts w:eastAsia="Times New Roman" w:cs="Calibri"/>
          <w:lang w:eastAsia="fr-FR"/>
        </w:rPr>
        <w:t>Hanicot</w:t>
      </w:r>
      <w:proofErr w:type="spellEnd"/>
      <w:r w:rsidR="00284393" w:rsidRPr="000A0215">
        <w:rPr>
          <w:rFonts w:eastAsia="Times New Roman" w:cs="Calibri"/>
          <w:lang w:eastAsia="fr-FR"/>
        </w:rPr>
        <w:t xml:space="preserve">-Bourdier, Catherine </w:t>
      </w:r>
      <w:proofErr w:type="spellStart"/>
      <w:r w:rsidR="00284393" w:rsidRPr="000A0215">
        <w:rPr>
          <w:rFonts w:eastAsia="Times New Roman" w:cs="Calibri"/>
          <w:lang w:eastAsia="fr-FR"/>
        </w:rPr>
        <w:t>Lanneau</w:t>
      </w:r>
      <w:proofErr w:type="spellEnd"/>
      <w:r w:rsidR="00284393" w:rsidRPr="000A0215">
        <w:rPr>
          <w:rFonts w:eastAsia="Times New Roman" w:cs="Calibri"/>
          <w:lang w:eastAsia="fr-FR"/>
        </w:rPr>
        <w:t xml:space="preserve">, Dominique </w:t>
      </w:r>
      <w:proofErr w:type="spellStart"/>
      <w:r w:rsidR="00284393" w:rsidRPr="000A0215">
        <w:rPr>
          <w:rFonts w:eastAsia="Times New Roman" w:cs="Calibri"/>
          <w:lang w:eastAsia="fr-FR"/>
        </w:rPr>
        <w:t>Longrée</w:t>
      </w:r>
      <w:proofErr w:type="spellEnd"/>
      <w:r w:rsidRPr="000A0215">
        <w:rPr>
          <w:rFonts w:eastAsia="Times New Roman" w:cs="Calibri"/>
          <w:lang w:eastAsia="fr-FR"/>
        </w:rPr>
        <w:t xml:space="preserve">, </w:t>
      </w:r>
      <w:proofErr w:type="spellStart"/>
      <w:r w:rsidRPr="000A0215">
        <w:rPr>
          <w:rFonts w:eastAsia="Times New Roman" w:cs="Calibri"/>
          <w:lang w:eastAsia="fr-FR"/>
        </w:rPr>
        <w:t>Angeliki</w:t>
      </w:r>
      <w:proofErr w:type="spellEnd"/>
      <w:r w:rsidRPr="000A0215">
        <w:rPr>
          <w:rFonts w:eastAsia="Times New Roman" w:cs="Calibri"/>
          <w:lang w:eastAsia="fr-FR"/>
        </w:rPr>
        <w:t xml:space="preserve"> Monnier</w:t>
      </w:r>
      <w:r w:rsidR="005A0A9F" w:rsidRPr="000A0215">
        <w:rPr>
          <w:rFonts w:eastAsia="Times New Roman" w:cs="Calibri"/>
          <w:lang w:eastAsia="fr-FR"/>
        </w:rPr>
        <w:t>,</w:t>
      </w:r>
      <w:r w:rsidR="005A0A9F" w:rsidRPr="000A0215">
        <w:rPr>
          <w:rFonts w:eastAsia="Times New Roman" w:cs="Calibri"/>
          <w:color w:val="000000"/>
          <w:lang w:eastAsia="fr-FR"/>
        </w:rPr>
        <w:t xml:space="preserve"> </w:t>
      </w:r>
      <w:proofErr w:type="spellStart"/>
      <w:r w:rsidR="005A0A9F" w:rsidRPr="000A0215">
        <w:rPr>
          <w:rFonts w:eastAsia="Times New Roman" w:cs="Calibri"/>
          <w:color w:val="000000"/>
          <w:lang w:eastAsia="fr-FR"/>
        </w:rPr>
        <w:t>Katsiaryna</w:t>
      </w:r>
      <w:proofErr w:type="spellEnd"/>
      <w:r w:rsidR="005A0A9F" w:rsidRPr="000A0215">
        <w:rPr>
          <w:rFonts w:eastAsia="Times New Roman" w:cs="Calibri"/>
          <w:color w:val="000000"/>
          <w:lang w:eastAsia="fr-FR"/>
        </w:rPr>
        <w:t xml:space="preserve"> </w:t>
      </w:r>
      <w:proofErr w:type="spellStart"/>
      <w:r w:rsidR="005A0A9F" w:rsidRPr="000A0215">
        <w:rPr>
          <w:rFonts w:eastAsia="Times New Roman" w:cs="Calibri"/>
          <w:color w:val="000000"/>
          <w:lang w:eastAsia="fr-FR"/>
        </w:rPr>
        <w:t>Siniapkina</w:t>
      </w:r>
      <w:proofErr w:type="spellEnd"/>
      <w:r w:rsidR="00284393" w:rsidRPr="000A0215">
        <w:rPr>
          <w:rFonts w:eastAsia="Times New Roman" w:cs="Calibri"/>
          <w:lang w:eastAsia="fr-FR"/>
        </w:rPr>
        <w:t xml:space="preserve">. </w:t>
      </w:r>
    </w:p>
    <w:p w:rsidR="00284393" w:rsidRPr="000A0215" w:rsidRDefault="00284393" w:rsidP="00284393">
      <w:pPr>
        <w:spacing w:after="0" w:line="240" w:lineRule="auto"/>
        <w:jc w:val="both"/>
        <w:rPr>
          <w:rFonts w:eastAsia="Times New Roman" w:cs="Calibri"/>
          <w:lang w:eastAsia="fr-FR"/>
        </w:rPr>
      </w:pPr>
    </w:p>
    <w:p w:rsidR="00284393" w:rsidRPr="000A0215" w:rsidRDefault="00284393" w:rsidP="00284393">
      <w:pPr>
        <w:spacing w:after="0" w:line="240" w:lineRule="auto"/>
        <w:jc w:val="both"/>
        <w:rPr>
          <w:rFonts w:eastAsia="Times New Roman" w:cs="Calibri"/>
          <w:b/>
          <w:i/>
          <w:lang w:eastAsia="fr-FR"/>
        </w:rPr>
      </w:pPr>
      <w:r w:rsidRPr="000A0215">
        <w:rPr>
          <w:rFonts w:eastAsia="Times New Roman" w:cs="Calibri"/>
          <w:b/>
          <w:i/>
          <w:lang w:eastAsia="fr-FR"/>
        </w:rPr>
        <w:t>Membre invité</w:t>
      </w:r>
      <w:r w:rsidR="006A15B2" w:rsidRPr="000A0215">
        <w:rPr>
          <w:rFonts w:eastAsia="Times New Roman" w:cs="Calibri"/>
          <w:b/>
          <w:i/>
          <w:lang w:eastAsia="fr-FR"/>
        </w:rPr>
        <w:t>e</w:t>
      </w:r>
      <w:r w:rsidRPr="000A0215">
        <w:rPr>
          <w:rFonts w:eastAsia="Times New Roman" w:cs="Calibri"/>
          <w:b/>
          <w:i/>
          <w:lang w:eastAsia="fr-FR"/>
        </w:rPr>
        <w:t xml:space="preserve"> permanent</w:t>
      </w:r>
      <w:r w:rsidR="006A15B2" w:rsidRPr="000A0215">
        <w:rPr>
          <w:rFonts w:eastAsia="Times New Roman" w:cs="Calibri"/>
          <w:b/>
          <w:i/>
          <w:lang w:eastAsia="fr-FR"/>
        </w:rPr>
        <w:t>e</w:t>
      </w:r>
      <w:r w:rsidRPr="000A0215">
        <w:rPr>
          <w:rFonts w:eastAsia="Times New Roman" w:cs="Calibri"/>
          <w:b/>
          <w:i/>
          <w:lang w:eastAsia="fr-FR"/>
        </w:rPr>
        <w:t xml:space="preserve"> présent</w:t>
      </w:r>
      <w:r w:rsidR="006A15B2" w:rsidRPr="000A0215">
        <w:rPr>
          <w:rFonts w:eastAsia="Times New Roman" w:cs="Calibri"/>
          <w:b/>
          <w:i/>
          <w:lang w:eastAsia="fr-FR"/>
        </w:rPr>
        <w:t>e</w:t>
      </w:r>
      <w:r w:rsidRPr="000A0215">
        <w:rPr>
          <w:rFonts w:eastAsia="Times New Roman" w:cs="Calibri"/>
          <w:b/>
          <w:i/>
          <w:lang w:eastAsia="fr-FR"/>
        </w:rPr>
        <w:t> </w:t>
      </w:r>
    </w:p>
    <w:p w:rsidR="00284393" w:rsidRPr="000A0215" w:rsidRDefault="00284393" w:rsidP="00284393">
      <w:pPr>
        <w:spacing w:after="0" w:line="240" w:lineRule="auto"/>
        <w:jc w:val="both"/>
        <w:rPr>
          <w:rFonts w:eastAsia="Times New Roman" w:cs="Calibri"/>
          <w:lang w:eastAsia="fr-FR"/>
        </w:rPr>
      </w:pPr>
      <w:r w:rsidRPr="000A0215">
        <w:rPr>
          <w:rFonts w:eastAsia="Times New Roman" w:cs="Calibri"/>
          <w:lang w:eastAsia="fr-FR"/>
        </w:rPr>
        <w:t>Isabelle Gaudy-Campbell</w:t>
      </w:r>
    </w:p>
    <w:p w:rsidR="00284393" w:rsidRPr="000A0215" w:rsidRDefault="00284393" w:rsidP="00284393">
      <w:pPr>
        <w:spacing w:after="0" w:line="240" w:lineRule="auto"/>
        <w:jc w:val="both"/>
        <w:rPr>
          <w:rFonts w:eastAsia="Times New Roman" w:cs="Calibri"/>
          <w:lang w:eastAsia="fr-FR"/>
        </w:rPr>
      </w:pPr>
    </w:p>
    <w:p w:rsidR="00284393" w:rsidRPr="000A0215" w:rsidRDefault="00284393" w:rsidP="00284393">
      <w:pPr>
        <w:spacing w:after="0" w:line="240" w:lineRule="auto"/>
        <w:jc w:val="both"/>
        <w:rPr>
          <w:rFonts w:eastAsia="Times New Roman" w:cs="Calibri"/>
          <w:b/>
          <w:i/>
          <w:lang w:eastAsia="fr-FR"/>
        </w:rPr>
      </w:pPr>
      <w:r w:rsidRPr="000A0215">
        <w:rPr>
          <w:rFonts w:eastAsia="Times New Roman" w:cs="Calibri"/>
          <w:b/>
          <w:i/>
          <w:lang w:eastAsia="fr-FR"/>
        </w:rPr>
        <w:t>Approbation du compte-rendu du 6 février 2023</w:t>
      </w:r>
    </w:p>
    <w:p w:rsidR="005A0A9F" w:rsidRPr="000A0215" w:rsidRDefault="00284393" w:rsidP="00284393">
      <w:pPr>
        <w:spacing w:after="0" w:line="240" w:lineRule="auto"/>
        <w:jc w:val="both"/>
        <w:rPr>
          <w:rFonts w:eastAsia="Times New Roman" w:cs="Calibri"/>
          <w:lang w:eastAsia="fr-FR"/>
        </w:rPr>
      </w:pPr>
      <w:r w:rsidRPr="000A0215">
        <w:rPr>
          <w:rFonts w:eastAsia="Times New Roman" w:cs="Calibri"/>
          <w:lang w:eastAsia="fr-FR"/>
        </w:rPr>
        <w:t xml:space="preserve">Le compte-rendu du </w:t>
      </w:r>
      <w:r w:rsidR="005A0A9F" w:rsidRPr="000A0215">
        <w:rPr>
          <w:rFonts w:eastAsia="Times New Roman" w:cs="Calibri"/>
          <w:lang w:eastAsia="fr-FR"/>
        </w:rPr>
        <w:t>6 février 2023</w:t>
      </w:r>
      <w:r w:rsidRPr="000A0215">
        <w:rPr>
          <w:rFonts w:eastAsia="Times New Roman" w:cs="Calibri"/>
          <w:lang w:eastAsia="fr-FR"/>
        </w:rPr>
        <w:t xml:space="preserve"> est approuvé par la</w:t>
      </w:r>
      <w:r w:rsidR="005A0A9F" w:rsidRPr="000A0215">
        <w:rPr>
          <w:rFonts w:eastAsia="Times New Roman" w:cs="Calibri"/>
          <w:lang w:eastAsia="fr-FR"/>
        </w:rPr>
        <w:t xml:space="preserve"> totalité des membres présents, avec la demande de modification de Nathalie collé concernant les référents doctorat au sein de l’UR IDEA.</w:t>
      </w:r>
    </w:p>
    <w:p w:rsidR="00284393" w:rsidRPr="000A0215" w:rsidRDefault="00284393" w:rsidP="00284393">
      <w:pPr>
        <w:spacing w:after="0" w:line="240" w:lineRule="auto"/>
        <w:jc w:val="both"/>
        <w:rPr>
          <w:rFonts w:eastAsia="Times New Roman" w:cs="Calibri"/>
          <w:lang w:eastAsia="fr-FR"/>
        </w:rPr>
      </w:pPr>
      <w:r w:rsidRPr="000A0215">
        <w:rPr>
          <w:rFonts w:eastAsia="Times New Roman" w:cs="Calibri"/>
          <w:lang w:eastAsia="fr-FR"/>
        </w:rPr>
        <w:t>Il sera déposé sur le site internet de l’ED.</w:t>
      </w:r>
    </w:p>
    <w:p w:rsidR="00284393" w:rsidRPr="000A0215" w:rsidRDefault="00284393" w:rsidP="00284393">
      <w:pPr>
        <w:spacing w:after="0" w:line="240" w:lineRule="auto"/>
        <w:jc w:val="both"/>
        <w:rPr>
          <w:rFonts w:eastAsia="Times New Roman" w:cs="Calibri"/>
          <w:lang w:eastAsia="fr-FR"/>
        </w:rPr>
      </w:pPr>
    </w:p>
    <w:p w:rsidR="00284393" w:rsidRPr="000A0215" w:rsidRDefault="00284393" w:rsidP="00284393">
      <w:pPr>
        <w:spacing w:after="0" w:line="240" w:lineRule="auto"/>
        <w:jc w:val="both"/>
        <w:rPr>
          <w:rFonts w:eastAsia="Times New Roman" w:cs="Calibri"/>
          <w:b/>
          <w:i/>
          <w:lang w:eastAsia="fr-FR"/>
        </w:rPr>
      </w:pPr>
      <w:r w:rsidRPr="000A0215">
        <w:rPr>
          <w:rFonts w:eastAsia="Times New Roman" w:cs="Calibri"/>
          <w:b/>
          <w:i/>
          <w:lang w:eastAsia="fr-FR"/>
        </w:rPr>
        <w:t>Informations diverses</w:t>
      </w:r>
    </w:p>
    <w:p w:rsidR="006E446A" w:rsidRPr="000A0215" w:rsidRDefault="006E446A" w:rsidP="006E446A">
      <w:pPr>
        <w:pStyle w:val="Paragraphedeliste"/>
        <w:numPr>
          <w:ilvl w:val="0"/>
          <w:numId w:val="1"/>
        </w:numPr>
        <w:shd w:val="clear" w:color="auto" w:fill="FDFCFA"/>
        <w:spacing w:after="0" w:line="240" w:lineRule="auto"/>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C</w:t>
      </w:r>
      <w:r w:rsidR="00354563" w:rsidRPr="000A0215">
        <w:rPr>
          <w:rFonts w:ascii="Calibri" w:eastAsia="Times New Roman" w:hAnsi="Calibri" w:cs="Calibri"/>
          <w:color w:val="000000"/>
          <w:lang w:eastAsia="fr-FR"/>
        </w:rPr>
        <w:t xml:space="preserve">hangement de direction </w:t>
      </w:r>
      <w:r w:rsidRPr="000A0215">
        <w:rPr>
          <w:rFonts w:ascii="Calibri" w:eastAsia="Times New Roman" w:hAnsi="Calibri" w:cs="Calibri"/>
          <w:color w:val="000000"/>
          <w:lang w:eastAsia="fr-FR"/>
        </w:rPr>
        <w:t>à</w:t>
      </w:r>
      <w:r w:rsidR="00354563" w:rsidRPr="000A0215">
        <w:rPr>
          <w:rFonts w:ascii="Calibri" w:eastAsia="Times New Roman" w:hAnsi="Calibri" w:cs="Calibri"/>
          <w:color w:val="000000"/>
          <w:lang w:eastAsia="fr-FR"/>
        </w:rPr>
        <w:t xml:space="preserve"> l’ED </w:t>
      </w:r>
    </w:p>
    <w:p w:rsidR="00DA3305" w:rsidRPr="000A0215" w:rsidRDefault="006E446A" w:rsidP="006E446A">
      <w:pPr>
        <w:shd w:val="clear" w:color="auto" w:fill="FDFCFA"/>
        <w:spacing w:after="0" w:line="240" w:lineRule="auto"/>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 xml:space="preserve">Celui-ci </w:t>
      </w:r>
      <w:r w:rsidR="00354563" w:rsidRPr="000A0215">
        <w:rPr>
          <w:rFonts w:ascii="Calibri" w:eastAsia="Times New Roman" w:hAnsi="Calibri" w:cs="Calibri"/>
          <w:color w:val="000000"/>
          <w:lang w:eastAsia="fr-FR"/>
        </w:rPr>
        <w:t>sera accompagné par la DA</w:t>
      </w:r>
      <w:r w:rsidR="005A0A9F" w:rsidRPr="000A0215">
        <w:rPr>
          <w:rFonts w:ascii="Calibri" w:eastAsia="Times New Roman" w:hAnsi="Calibri" w:cs="Calibri"/>
          <w:color w:val="000000"/>
          <w:lang w:eastAsia="fr-FR"/>
        </w:rPr>
        <w:t>J</w:t>
      </w:r>
      <w:r w:rsidR="00354563" w:rsidRPr="000A0215">
        <w:rPr>
          <w:rFonts w:ascii="Calibri" w:eastAsia="Times New Roman" w:hAnsi="Calibri" w:cs="Calibri"/>
          <w:color w:val="000000"/>
          <w:lang w:eastAsia="fr-FR"/>
        </w:rPr>
        <w:t xml:space="preserve">. Il se </w:t>
      </w:r>
      <w:r w:rsidR="006A15B2" w:rsidRPr="000A0215">
        <w:rPr>
          <w:rFonts w:ascii="Calibri" w:eastAsia="Times New Roman" w:hAnsi="Calibri" w:cs="Calibri"/>
          <w:color w:val="000000"/>
          <w:lang w:eastAsia="fr-FR"/>
        </w:rPr>
        <w:t>déroulera</w:t>
      </w:r>
      <w:r w:rsidR="00354563" w:rsidRPr="000A0215">
        <w:rPr>
          <w:rFonts w:ascii="Calibri" w:eastAsia="Times New Roman" w:hAnsi="Calibri" w:cs="Calibri"/>
          <w:color w:val="000000"/>
          <w:lang w:eastAsia="fr-FR"/>
        </w:rPr>
        <w:t xml:space="preserve"> en mai-juin 2024 pou</w:t>
      </w:r>
      <w:r w:rsidRPr="000A0215">
        <w:rPr>
          <w:rFonts w:ascii="Calibri" w:eastAsia="Times New Roman" w:hAnsi="Calibri" w:cs="Calibri"/>
          <w:color w:val="000000"/>
          <w:lang w:eastAsia="fr-FR"/>
        </w:rPr>
        <w:t>r</w:t>
      </w:r>
      <w:r w:rsidR="00354563" w:rsidRPr="000A0215">
        <w:rPr>
          <w:rFonts w:ascii="Calibri" w:eastAsia="Times New Roman" w:hAnsi="Calibri" w:cs="Calibri"/>
          <w:color w:val="000000"/>
          <w:lang w:eastAsia="fr-FR"/>
        </w:rPr>
        <w:t xml:space="preserve"> une mise en place de la nouvelle équipe en septembre 2024 (nouveau contrat)</w:t>
      </w:r>
      <w:r w:rsidRPr="000A0215">
        <w:rPr>
          <w:rFonts w:ascii="Calibri" w:eastAsia="Times New Roman" w:hAnsi="Calibri" w:cs="Calibri"/>
          <w:color w:val="000000"/>
          <w:lang w:eastAsia="fr-FR"/>
        </w:rPr>
        <w:t xml:space="preserve">. </w:t>
      </w:r>
      <w:r w:rsidR="006A15B2" w:rsidRPr="000A0215">
        <w:rPr>
          <w:rFonts w:ascii="Calibri" w:eastAsia="Times New Roman" w:hAnsi="Calibri" w:cs="Calibri"/>
          <w:color w:val="000000"/>
          <w:lang w:eastAsia="fr-FR"/>
        </w:rPr>
        <w:t xml:space="preserve">Un nouveau conseil sera </w:t>
      </w:r>
      <w:r w:rsidR="005A0A9F" w:rsidRPr="000A0215">
        <w:rPr>
          <w:rFonts w:ascii="Calibri" w:eastAsia="Times New Roman" w:hAnsi="Calibri" w:cs="Calibri"/>
          <w:color w:val="000000"/>
          <w:lang w:eastAsia="fr-FR"/>
        </w:rPr>
        <w:t>formé (vers le mois d’avril 2024</w:t>
      </w:r>
      <w:r w:rsidR="006A15B2" w:rsidRPr="000A0215">
        <w:rPr>
          <w:rFonts w:ascii="Calibri" w:eastAsia="Times New Roman" w:hAnsi="Calibri" w:cs="Calibri"/>
          <w:color w:val="000000"/>
          <w:lang w:eastAsia="fr-FR"/>
        </w:rPr>
        <w:t xml:space="preserve">). C’est lui qui désignera la direction. </w:t>
      </w:r>
      <w:r w:rsidRPr="000A0215">
        <w:rPr>
          <w:rFonts w:ascii="Calibri" w:eastAsia="Times New Roman" w:hAnsi="Calibri" w:cs="Calibri"/>
          <w:color w:val="000000"/>
          <w:lang w:eastAsia="fr-FR"/>
        </w:rPr>
        <w:t>Nous recevrons prochainement les informations à ce sujet.</w:t>
      </w:r>
    </w:p>
    <w:p w:rsidR="006E446A" w:rsidRPr="000A0215" w:rsidRDefault="006E446A" w:rsidP="006E446A">
      <w:pPr>
        <w:pStyle w:val="Paragraphedeliste"/>
        <w:shd w:val="clear" w:color="auto" w:fill="FDFCFA"/>
        <w:spacing w:after="0" w:line="240" w:lineRule="auto"/>
        <w:jc w:val="both"/>
        <w:rPr>
          <w:rFonts w:ascii="Calibri" w:eastAsia="Times New Roman" w:hAnsi="Calibri" w:cs="Calibri"/>
          <w:color w:val="000000"/>
          <w:lang w:eastAsia="fr-FR"/>
        </w:rPr>
      </w:pPr>
    </w:p>
    <w:p w:rsidR="00117F2F" w:rsidRPr="000A0215" w:rsidRDefault="00CB25EA" w:rsidP="006E446A">
      <w:pPr>
        <w:pStyle w:val="Paragraphedeliste"/>
        <w:numPr>
          <w:ilvl w:val="0"/>
          <w:numId w:val="1"/>
        </w:numPr>
        <w:shd w:val="clear" w:color="auto" w:fill="FDFCFA"/>
        <w:spacing w:after="0" w:line="240" w:lineRule="auto"/>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C</w:t>
      </w:r>
      <w:r w:rsidR="00117F2F" w:rsidRPr="000A0215">
        <w:rPr>
          <w:rFonts w:ascii="Calibri" w:eastAsia="Times New Roman" w:hAnsi="Calibri" w:cs="Calibri"/>
          <w:color w:val="000000"/>
          <w:lang w:eastAsia="fr-FR"/>
        </w:rPr>
        <w:t>omposition du CSI</w:t>
      </w:r>
      <w:r w:rsidR="00BE24CA" w:rsidRPr="000A0215">
        <w:rPr>
          <w:rFonts w:ascii="Calibri" w:eastAsia="Times New Roman" w:hAnsi="Calibri" w:cs="Calibri"/>
          <w:color w:val="000000"/>
          <w:lang w:eastAsia="fr-FR"/>
        </w:rPr>
        <w:t xml:space="preserve"> et </w:t>
      </w:r>
      <w:r w:rsidR="00BA0927" w:rsidRPr="000A0215">
        <w:rPr>
          <w:rFonts w:ascii="Calibri" w:eastAsia="Times New Roman" w:hAnsi="Calibri" w:cs="Calibri"/>
          <w:color w:val="000000"/>
          <w:lang w:eastAsia="fr-FR"/>
        </w:rPr>
        <w:t>calendrier</w:t>
      </w:r>
    </w:p>
    <w:p w:rsidR="006A15B2" w:rsidRPr="000A0215" w:rsidRDefault="00284393" w:rsidP="00284393">
      <w:pPr>
        <w:shd w:val="clear" w:color="auto" w:fill="FDFCFA"/>
        <w:spacing w:after="0" w:line="240" w:lineRule="auto"/>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Afin qu’il n’y ait aucune ambiguïté, il est important de rappeler la règle concernant sa composition</w:t>
      </w:r>
      <w:r w:rsidR="005F4819" w:rsidRPr="000A0215">
        <w:rPr>
          <w:rFonts w:ascii="Calibri" w:eastAsia="Times New Roman" w:hAnsi="Calibri" w:cs="Calibri"/>
          <w:color w:val="000000"/>
          <w:lang w:eastAsia="fr-FR"/>
        </w:rPr>
        <w:t>. Elle est précisée dans le document</w:t>
      </w:r>
      <w:r w:rsidR="00954BB6" w:rsidRPr="000A0215">
        <w:rPr>
          <w:rFonts w:ascii="Calibri" w:eastAsia="Times New Roman" w:hAnsi="Calibri" w:cs="Calibri"/>
          <w:color w:val="000000"/>
          <w:lang w:eastAsia="fr-FR"/>
        </w:rPr>
        <w:t xml:space="preserve"> qui a été envoyé à toutes et tous : </w:t>
      </w:r>
      <w:r w:rsidR="00CB25EA" w:rsidRPr="000A0215">
        <w:rPr>
          <w:rFonts w:ascii="Calibri" w:eastAsia="Times New Roman" w:hAnsi="Calibri" w:cs="Calibri"/>
          <w:color w:val="000000"/>
          <w:lang w:eastAsia="fr-FR"/>
        </w:rPr>
        <w:t>« L</w:t>
      </w:r>
      <w:r w:rsidR="00EB27A0" w:rsidRPr="000A0215">
        <w:rPr>
          <w:rFonts w:ascii="Calibri" w:eastAsia="Times New Roman" w:hAnsi="Calibri" w:cs="Calibri"/>
          <w:color w:val="000000"/>
          <w:lang w:eastAsia="fr-FR"/>
        </w:rPr>
        <w:t>e</w:t>
      </w:r>
      <w:r w:rsidR="00CB25EA" w:rsidRPr="000A0215">
        <w:rPr>
          <w:rFonts w:ascii="Calibri" w:eastAsia="Times New Roman" w:hAnsi="Calibri" w:cs="Calibri"/>
          <w:color w:val="000000"/>
          <w:lang w:eastAsia="fr-FR"/>
        </w:rPr>
        <w:t xml:space="preserve">/la </w:t>
      </w:r>
      <w:proofErr w:type="spellStart"/>
      <w:proofErr w:type="gramStart"/>
      <w:r w:rsidR="00CB25EA" w:rsidRPr="000A0215">
        <w:rPr>
          <w:rFonts w:ascii="Calibri" w:eastAsia="Times New Roman" w:hAnsi="Calibri" w:cs="Calibri"/>
          <w:color w:val="000000"/>
          <w:lang w:eastAsia="fr-FR"/>
        </w:rPr>
        <w:t>doctorant</w:t>
      </w:r>
      <w:r w:rsidR="00954BB6" w:rsidRPr="000A0215">
        <w:rPr>
          <w:rFonts w:ascii="Calibri" w:eastAsia="Times New Roman" w:hAnsi="Calibri" w:cs="Calibri"/>
          <w:color w:val="000000"/>
          <w:lang w:eastAsia="fr-FR"/>
        </w:rPr>
        <w:t>.e</w:t>
      </w:r>
      <w:proofErr w:type="spellEnd"/>
      <w:proofErr w:type="gramEnd"/>
      <w:r w:rsidR="00CB25EA" w:rsidRPr="000A0215">
        <w:rPr>
          <w:rFonts w:ascii="Calibri" w:eastAsia="Times New Roman" w:hAnsi="Calibri" w:cs="Calibri"/>
          <w:color w:val="000000"/>
          <w:lang w:eastAsia="fr-FR"/>
        </w:rPr>
        <w:t xml:space="preserve"> a le droit de choisir un membre de son comité</w:t>
      </w:r>
      <w:r w:rsidR="00954BB6" w:rsidRPr="000A0215">
        <w:rPr>
          <w:rFonts w:ascii="Calibri" w:eastAsia="Times New Roman" w:hAnsi="Calibri" w:cs="Calibri"/>
          <w:color w:val="000000"/>
          <w:lang w:eastAsia="fr-FR"/>
        </w:rPr>
        <w:t> »</w:t>
      </w:r>
      <w:r w:rsidR="00CB25EA" w:rsidRPr="000A0215">
        <w:rPr>
          <w:rFonts w:ascii="Calibri" w:eastAsia="Times New Roman" w:hAnsi="Calibri" w:cs="Calibri"/>
          <w:color w:val="000000"/>
          <w:lang w:eastAsia="fr-FR"/>
        </w:rPr>
        <w:t>. Concernant la sollicitation des membres, « Le/la directeur(</w:t>
      </w:r>
      <w:proofErr w:type="spellStart"/>
      <w:r w:rsidR="00CB25EA" w:rsidRPr="000A0215">
        <w:rPr>
          <w:rFonts w:ascii="Calibri" w:eastAsia="Times New Roman" w:hAnsi="Calibri" w:cs="Calibri"/>
          <w:color w:val="000000"/>
          <w:lang w:eastAsia="fr-FR"/>
        </w:rPr>
        <w:t>rice</w:t>
      </w:r>
      <w:proofErr w:type="spellEnd"/>
      <w:r w:rsidR="00CB25EA" w:rsidRPr="000A0215">
        <w:rPr>
          <w:rFonts w:ascii="Calibri" w:eastAsia="Times New Roman" w:hAnsi="Calibri" w:cs="Calibri"/>
          <w:color w:val="000000"/>
          <w:lang w:eastAsia="fr-FR"/>
        </w:rPr>
        <w:t xml:space="preserve">) de thèse sollicite, après discussion et accord du/de la </w:t>
      </w:r>
      <w:proofErr w:type="spellStart"/>
      <w:proofErr w:type="gramStart"/>
      <w:r w:rsidR="00CB25EA" w:rsidRPr="000A0215">
        <w:rPr>
          <w:rFonts w:ascii="Calibri" w:eastAsia="Times New Roman" w:hAnsi="Calibri" w:cs="Calibri"/>
          <w:color w:val="000000"/>
          <w:lang w:eastAsia="fr-FR"/>
        </w:rPr>
        <w:t>doctorant</w:t>
      </w:r>
      <w:r w:rsidR="00954BB6" w:rsidRPr="000A0215">
        <w:rPr>
          <w:rFonts w:ascii="Calibri" w:eastAsia="Times New Roman" w:hAnsi="Calibri" w:cs="Calibri"/>
          <w:color w:val="000000"/>
          <w:lang w:eastAsia="fr-FR"/>
        </w:rPr>
        <w:t>.e</w:t>
      </w:r>
      <w:proofErr w:type="spellEnd"/>
      <w:proofErr w:type="gramEnd"/>
      <w:r w:rsidR="00CB25EA" w:rsidRPr="000A0215">
        <w:rPr>
          <w:rFonts w:ascii="Calibri" w:eastAsia="Times New Roman" w:hAnsi="Calibri" w:cs="Calibri"/>
          <w:color w:val="000000"/>
          <w:lang w:eastAsia="fr-FR"/>
        </w:rPr>
        <w:t>, les membres du comité de suivi et s’assure de leur accord et de leur disponibilité au regard de cette implication ». </w:t>
      </w:r>
    </w:p>
    <w:p w:rsidR="00376BB4" w:rsidRPr="000A0215" w:rsidRDefault="00376BB4" w:rsidP="00284393">
      <w:pPr>
        <w:shd w:val="clear" w:color="auto" w:fill="FDFCFA"/>
        <w:spacing w:after="0" w:line="240" w:lineRule="auto"/>
        <w:jc w:val="both"/>
        <w:rPr>
          <w:rFonts w:ascii="Calibri" w:eastAsia="Times New Roman" w:hAnsi="Calibri" w:cs="Calibri"/>
          <w:color w:val="000000"/>
          <w:lang w:eastAsia="fr-FR"/>
        </w:rPr>
      </w:pPr>
    </w:p>
    <w:p w:rsidR="006A15B2" w:rsidRPr="000A0215" w:rsidRDefault="006A15B2" w:rsidP="00284393">
      <w:pPr>
        <w:shd w:val="clear" w:color="auto" w:fill="FDFCFA"/>
        <w:spacing w:after="0" w:line="240" w:lineRule="auto"/>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 xml:space="preserve">Lors des CSI, il est rappelé aux membres du conseil qu’en cas de codirection, </w:t>
      </w:r>
      <w:r w:rsidR="005A0A9F" w:rsidRPr="000A0215">
        <w:rPr>
          <w:rFonts w:ascii="Calibri" w:eastAsia="Times New Roman" w:hAnsi="Calibri" w:cs="Calibri"/>
          <w:color w:val="000000"/>
          <w:lang w:eastAsia="fr-FR"/>
        </w:rPr>
        <w:t>l’ensemble des</w:t>
      </w:r>
      <w:r w:rsidRPr="000A0215">
        <w:rPr>
          <w:rFonts w:ascii="Calibri" w:eastAsia="Times New Roman" w:hAnsi="Calibri" w:cs="Calibri"/>
          <w:color w:val="000000"/>
          <w:lang w:eastAsia="fr-FR"/>
        </w:rPr>
        <w:t xml:space="preserve"> directeurs ou directrices doivent être présent.es</w:t>
      </w:r>
      <w:r w:rsidR="00376BB4" w:rsidRPr="000A0215">
        <w:rPr>
          <w:rFonts w:ascii="Calibri" w:eastAsia="Times New Roman" w:hAnsi="Calibri" w:cs="Calibri"/>
          <w:color w:val="000000"/>
          <w:lang w:eastAsia="fr-FR"/>
        </w:rPr>
        <w:t>, lorsque le doctorant ou la doctorante fait état de l’avancée de sa thèse ainsi que lors de l’échange avec le CSI</w:t>
      </w:r>
      <w:r w:rsidRPr="000A0215">
        <w:rPr>
          <w:rFonts w:ascii="Calibri" w:eastAsia="Times New Roman" w:hAnsi="Calibri" w:cs="Calibri"/>
          <w:color w:val="000000"/>
          <w:lang w:eastAsia="fr-FR"/>
        </w:rPr>
        <w:t>.</w:t>
      </w:r>
      <w:r w:rsidR="00376BB4" w:rsidRPr="000A0215">
        <w:rPr>
          <w:rFonts w:ascii="Calibri" w:eastAsia="Times New Roman" w:hAnsi="Calibri" w:cs="Calibri"/>
          <w:color w:val="000000"/>
          <w:lang w:eastAsia="fr-FR"/>
        </w:rPr>
        <w:t xml:space="preserve"> Le conseil tient à ra</w:t>
      </w:r>
      <w:r w:rsidR="005A0A9F" w:rsidRPr="000A0215">
        <w:rPr>
          <w:rFonts w:ascii="Calibri" w:eastAsia="Times New Roman" w:hAnsi="Calibri" w:cs="Calibri"/>
          <w:color w:val="000000"/>
          <w:lang w:eastAsia="fr-FR"/>
        </w:rPr>
        <w:t xml:space="preserve">ppeler que le CSI ne constitue </w:t>
      </w:r>
      <w:r w:rsidR="00376BB4" w:rsidRPr="000A0215">
        <w:rPr>
          <w:rFonts w:ascii="Calibri" w:eastAsia="Times New Roman" w:hAnsi="Calibri" w:cs="Calibri"/>
          <w:color w:val="000000"/>
          <w:lang w:eastAsia="fr-FR"/>
        </w:rPr>
        <w:t>pas un moment d’évaluation de la thèse mais représente un moment d’accompagnement du doctorant et de la doctorante.</w:t>
      </w:r>
    </w:p>
    <w:p w:rsidR="00BA0927" w:rsidRPr="000A0215" w:rsidRDefault="00BA0927" w:rsidP="00284393">
      <w:pPr>
        <w:shd w:val="clear" w:color="auto" w:fill="FDFCFA"/>
        <w:spacing w:after="0" w:line="240" w:lineRule="auto"/>
        <w:jc w:val="both"/>
        <w:rPr>
          <w:rFonts w:ascii="Calibri" w:eastAsia="Times New Roman" w:hAnsi="Calibri" w:cs="Calibri"/>
          <w:color w:val="000000"/>
          <w:lang w:eastAsia="fr-FR"/>
        </w:rPr>
      </w:pPr>
    </w:p>
    <w:p w:rsidR="00BA0927" w:rsidRPr="000A0215" w:rsidRDefault="00376BB4" w:rsidP="00BA0927">
      <w:pPr>
        <w:shd w:val="clear" w:color="auto" w:fill="FDFCFA"/>
        <w:spacing w:after="0" w:line="240" w:lineRule="auto"/>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Dorénavant</w:t>
      </w:r>
      <w:r w:rsidR="00BA0927" w:rsidRPr="000A0215">
        <w:rPr>
          <w:rFonts w:ascii="Calibri" w:eastAsia="Times New Roman" w:hAnsi="Calibri" w:cs="Calibri"/>
          <w:color w:val="000000"/>
          <w:lang w:eastAsia="fr-FR"/>
        </w:rPr>
        <w:t xml:space="preserve">, les rapports des CSI devront être déposés sur </w:t>
      </w:r>
      <w:proofErr w:type="spellStart"/>
      <w:r w:rsidR="00BA0927" w:rsidRPr="000A0215">
        <w:rPr>
          <w:rFonts w:ascii="Calibri" w:eastAsia="Times New Roman" w:hAnsi="Calibri" w:cs="Calibri"/>
          <w:color w:val="000000"/>
          <w:lang w:eastAsia="fr-FR"/>
        </w:rPr>
        <w:t>Adum</w:t>
      </w:r>
      <w:proofErr w:type="spellEnd"/>
      <w:r w:rsidR="00BA0927" w:rsidRPr="000A0215">
        <w:rPr>
          <w:rFonts w:ascii="Calibri" w:eastAsia="Times New Roman" w:hAnsi="Calibri" w:cs="Calibri"/>
          <w:color w:val="000000"/>
          <w:lang w:eastAsia="fr-FR"/>
        </w:rPr>
        <w:t xml:space="preserve"> avant le 14 juillet 2023</w:t>
      </w:r>
      <w:r w:rsidR="00BE24CA" w:rsidRPr="000A0215">
        <w:rPr>
          <w:rFonts w:ascii="Calibri" w:eastAsia="Times New Roman" w:hAnsi="Calibri" w:cs="Calibri"/>
          <w:color w:val="000000"/>
          <w:lang w:eastAsia="fr-FR"/>
        </w:rPr>
        <w:t>.</w:t>
      </w:r>
    </w:p>
    <w:p w:rsidR="00366444" w:rsidRPr="000A0215" w:rsidRDefault="00366444" w:rsidP="00284393">
      <w:pPr>
        <w:shd w:val="clear" w:color="auto" w:fill="FDFCFA"/>
        <w:spacing w:after="0" w:line="240" w:lineRule="auto"/>
        <w:jc w:val="both"/>
        <w:rPr>
          <w:rFonts w:ascii="Calibri" w:eastAsia="Times New Roman" w:hAnsi="Calibri" w:cs="Calibri"/>
          <w:color w:val="000000"/>
          <w:lang w:eastAsia="fr-FR"/>
        </w:rPr>
      </w:pPr>
    </w:p>
    <w:p w:rsidR="00366444" w:rsidRPr="000A0215" w:rsidRDefault="00366444" w:rsidP="00366444">
      <w:pPr>
        <w:pStyle w:val="Paragraphedeliste"/>
        <w:numPr>
          <w:ilvl w:val="0"/>
          <w:numId w:val="1"/>
        </w:numPr>
        <w:shd w:val="clear" w:color="auto" w:fill="FDFCFA"/>
        <w:spacing w:after="0" w:line="240" w:lineRule="auto"/>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Contrats UL 2023</w:t>
      </w:r>
    </w:p>
    <w:p w:rsidR="006E446A" w:rsidRPr="000A0215" w:rsidRDefault="006E446A" w:rsidP="006E446A">
      <w:pPr>
        <w:pStyle w:val="Paragraphedeliste"/>
        <w:shd w:val="clear" w:color="auto" w:fill="FDFCFA"/>
        <w:spacing w:after="0" w:line="240" w:lineRule="auto"/>
        <w:jc w:val="both"/>
        <w:rPr>
          <w:rFonts w:ascii="Calibri" w:eastAsia="Times New Roman" w:hAnsi="Calibri" w:cs="Calibri"/>
          <w:color w:val="000000"/>
          <w:lang w:eastAsia="fr-FR"/>
        </w:rPr>
      </w:pPr>
    </w:p>
    <w:p w:rsidR="00366444" w:rsidRPr="000A0215" w:rsidRDefault="00366444" w:rsidP="00366444">
      <w:pPr>
        <w:shd w:val="clear" w:color="auto" w:fill="FDFCFA"/>
        <w:spacing w:after="0" w:line="240" w:lineRule="auto"/>
        <w:jc w:val="both"/>
        <w:rPr>
          <w:rFonts w:ascii="Calibri" w:eastAsia="Times New Roman" w:hAnsi="Calibri" w:cs="Calibri"/>
          <w:color w:val="000000"/>
          <w:lang w:eastAsia="fr-FR"/>
        </w:rPr>
      </w:pPr>
      <w:r w:rsidRPr="000A0215">
        <w:rPr>
          <w:rFonts w:ascii="Calibri" w:eastAsia="Times New Roman" w:hAnsi="Calibri" w:cs="Calibri"/>
          <w:b/>
          <w:color w:val="000000"/>
          <w:u w:val="single"/>
          <w:lang w:eastAsia="fr-FR"/>
        </w:rPr>
        <w:t xml:space="preserve">Pour le pôle </w:t>
      </w:r>
      <w:r w:rsidR="005A7348" w:rsidRPr="000A0215">
        <w:rPr>
          <w:rFonts w:ascii="Calibri" w:eastAsia="Times New Roman" w:hAnsi="Calibri" w:cs="Calibri"/>
          <w:b/>
          <w:color w:val="000000"/>
          <w:u w:val="single"/>
          <w:lang w:eastAsia="fr-FR"/>
        </w:rPr>
        <w:t>LLECT</w:t>
      </w:r>
      <w:r w:rsidRPr="000A0215">
        <w:rPr>
          <w:rFonts w:ascii="Calibri" w:eastAsia="Times New Roman" w:hAnsi="Calibri" w:cs="Calibri"/>
          <w:color w:val="000000"/>
          <w:lang w:eastAsia="fr-FR"/>
        </w:rPr>
        <w:t xml:space="preserve">, </w:t>
      </w:r>
      <w:r w:rsidR="00BE24CA" w:rsidRPr="000A0215">
        <w:rPr>
          <w:rFonts w:ascii="Calibri" w:eastAsia="Times New Roman" w:hAnsi="Calibri" w:cs="Calibri"/>
          <w:color w:val="000000"/>
          <w:lang w:eastAsia="fr-FR"/>
        </w:rPr>
        <w:t>un</w:t>
      </w:r>
      <w:r w:rsidRPr="000A0215">
        <w:rPr>
          <w:rFonts w:ascii="Calibri" w:eastAsia="Times New Roman" w:hAnsi="Calibri" w:cs="Calibri"/>
          <w:color w:val="000000"/>
          <w:lang w:eastAsia="fr-FR"/>
        </w:rPr>
        <w:t xml:space="preserve"> tableau sert de base aux échanges entre</w:t>
      </w:r>
      <w:r w:rsidR="00BE24CA" w:rsidRPr="000A0215">
        <w:rPr>
          <w:rFonts w:ascii="Calibri" w:eastAsia="Times New Roman" w:hAnsi="Calibri" w:cs="Calibri"/>
          <w:color w:val="000000"/>
          <w:lang w:eastAsia="fr-FR"/>
        </w:rPr>
        <w:t xml:space="preserve"> les</w:t>
      </w:r>
      <w:r w:rsidRPr="000A0215">
        <w:rPr>
          <w:rFonts w:ascii="Calibri" w:eastAsia="Times New Roman" w:hAnsi="Calibri" w:cs="Calibri"/>
          <w:color w:val="000000"/>
          <w:lang w:eastAsia="fr-FR"/>
        </w:rPr>
        <w:t xml:space="preserve"> </w:t>
      </w:r>
      <w:r w:rsidR="00E95B6C" w:rsidRPr="000A0215">
        <w:rPr>
          <w:rFonts w:ascii="Calibri" w:eastAsia="Times New Roman" w:hAnsi="Calibri" w:cs="Calibri"/>
          <w:color w:val="000000"/>
          <w:lang w:eastAsia="fr-FR"/>
        </w:rPr>
        <w:t xml:space="preserve">deux </w:t>
      </w:r>
      <w:r w:rsidRPr="000A0215">
        <w:rPr>
          <w:rFonts w:ascii="Calibri" w:eastAsia="Times New Roman" w:hAnsi="Calibri" w:cs="Calibri"/>
          <w:color w:val="000000"/>
          <w:lang w:eastAsia="fr-FR"/>
        </w:rPr>
        <w:t xml:space="preserve">pôles et </w:t>
      </w:r>
      <w:r w:rsidR="00BE24CA" w:rsidRPr="000A0215">
        <w:rPr>
          <w:rFonts w:ascii="Calibri" w:eastAsia="Times New Roman" w:hAnsi="Calibri" w:cs="Calibri"/>
          <w:color w:val="000000"/>
          <w:lang w:eastAsia="fr-FR"/>
        </w:rPr>
        <w:t xml:space="preserve">les </w:t>
      </w:r>
      <w:r w:rsidR="00E95B6C" w:rsidRPr="000A0215">
        <w:rPr>
          <w:rFonts w:ascii="Calibri" w:eastAsia="Times New Roman" w:hAnsi="Calibri" w:cs="Calibri"/>
          <w:color w:val="000000"/>
          <w:lang w:eastAsia="fr-FR"/>
        </w:rPr>
        <w:t xml:space="preserve">deux </w:t>
      </w:r>
      <w:r w:rsidRPr="000A0215">
        <w:rPr>
          <w:rFonts w:ascii="Calibri" w:eastAsia="Times New Roman" w:hAnsi="Calibri" w:cs="Calibri"/>
          <w:color w:val="000000"/>
          <w:lang w:eastAsia="fr-FR"/>
        </w:rPr>
        <w:t>ED</w:t>
      </w:r>
      <w:r w:rsidR="00E95B6C" w:rsidRPr="000A0215">
        <w:rPr>
          <w:rFonts w:ascii="Calibri" w:eastAsia="Times New Roman" w:hAnsi="Calibri" w:cs="Calibri"/>
          <w:color w:val="000000"/>
          <w:lang w:eastAsia="fr-FR"/>
        </w:rPr>
        <w:t xml:space="preserve"> concernés</w:t>
      </w:r>
      <w:r w:rsidRPr="000A0215">
        <w:rPr>
          <w:rFonts w:ascii="Calibri" w:eastAsia="Times New Roman" w:hAnsi="Calibri" w:cs="Calibri"/>
          <w:color w:val="000000"/>
          <w:lang w:eastAsia="fr-FR"/>
        </w:rPr>
        <w:t>.</w:t>
      </w:r>
    </w:p>
    <w:p w:rsidR="00366444" w:rsidRPr="000A0215" w:rsidRDefault="00366444" w:rsidP="00366444">
      <w:pPr>
        <w:shd w:val="clear" w:color="auto" w:fill="FDFCFA"/>
        <w:spacing w:after="0" w:line="240" w:lineRule="auto"/>
        <w:jc w:val="both"/>
        <w:rPr>
          <w:rFonts w:ascii="Calibri" w:eastAsia="Times New Roman" w:hAnsi="Calibri" w:cs="Calibri"/>
          <w:color w:val="000000"/>
          <w:lang w:eastAsia="fr-FR"/>
        </w:rPr>
      </w:pPr>
    </w:p>
    <w:tbl>
      <w:tblPr>
        <w:tblStyle w:val="Grilledutableau"/>
        <w:tblW w:w="0" w:type="auto"/>
        <w:tblLook w:val="04A0" w:firstRow="1" w:lastRow="0" w:firstColumn="1" w:lastColumn="0" w:noHBand="0" w:noVBand="1"/>
      </w:tblPr>
      <w:tblGrid>
        <w:gridCol w:w="2265"/>
        <w:gridCol w:w="2265"/>
        <w:gridCol w:w="2266"/>
        <w:gridCol w:w="2266"/>
      </w:tblGrid>
      <w:tr w:rsidR="00366444" w:rsidRPr="000A0215" w:rsidTr="00366444">
        <w:tc>
          <w:tcPr>
            <w:tcW w:w="2265" w:type="dxa"/>
          </w:tcPr>
          <w:p w:rsidR="00366444" w:rsidRPr="000A0215" w:rsidRDefault="00366444" w:rsidP="00366444">
            <w:pPr>
              <w:jc w:val="both"/>
              <w:rPr>
                <w:rFonts w:ascii="Calibri" w:eastAsia="Times New Roman" w:hAnsi="Calibri" w:cs="Calibri"/>
                <w:color w:val="000000"/>
                <w:lang w:eastAsia="fr-FR"/>
              </w:rPr>
            </w:pPr>
          </w:p>
        </w:tc>
        <w:tc>
          <w:tcPr>
            <w:tcW w:w="2265" w:type="dxa"/>
          </w:tcPr>
          <w:p w:rsidR="00366444" w:rsidRPr="000A0215" w:rsidRDefault="00366444" w:rsidP="005A0A9F">
            <w:pPr>
              <w:jc w:val="center"/>
              <w:rPr>
                <w:rFonts w:ascii="Calibri" w:eastAsia="Times New Roman" w:hAnsi="Calibri" w:cs="Calibri"/>
                <w:color w:val="000000"/>
                <w:lang w:eastAsia="fr-FR"/>
              </w:rPr>
            </w:pPr>
            <w:proofErr w:type="spellStart"/>
            <w:r w:rsidRPr="000A0215">
              <w:rPr>
                <w:rFonts w:ascii="Calibri" w:eastAsia="Times New Roman" w:hAnsi="Calibri" w:cs="Calibri"/>
                <w:color w:val="000000"/>
                <w:lang w:eastAsia="fr-FR"/>
              </w:rPr>
              <w:t>Hiscant</w:t>
            </w:r>
            <w:proofErr w:type="spellEnd"/>
          </w:p>
          <w:p w:rsidR="00366444" w:rsidRPr="000A0215" w:rsidRDefault="00366444"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SLTC</w:t>
            </w:r>
          </w:p>
        </w:tc>
        <w:tc>
          <w:tcPr>
            <w:tcW w:w="2266" w:type="dxa"/>
          </w:tcPr>
          <w:p w:rsidR="00366444" w:rsidRPr="000A0215" w:rsidRDefault="00366444"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HNFB</w:t>
            </w:r>
          </w:p>
        </w:tc>
        <w:tc>
          <w:tcPr>
            <w:tcW w:w="2266" w:type="dxa"/>
          </w:tcPr>
          <w:p w:rsidR="00366444" w:rsidRPr="000A0215" w:rsidRDefault="00366444"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Année</w:t>
            </w:r>
          </w:p>
        </w:tc>
      </w:tr>
      <w:tr w:rsidR="00366444" w:rsidRPr="000A0215" w:rsidTr="00366444">
        <w:tc>
          <w:tcPr>
            <w:tcW w:w="2265" w:type="dxa"/>
            <w:vMerge w:val="restart"/>
          </w:tcPr>
          <w:p w:rsidR="00366444" w:rsidRPr="000A0215" w:rsidRDefault="00366444" w:rsidP="00366444">
            <w:pPr>
              <w:rPr>
                <w:rFonts w:ascii="Calibri" w:eastAsia="Times New Roman" w:hAnsi="Calibri" w:cs="Calibri"/>
                <w:color w:val="000000"/>
                <w:lang w:eastAsia="fr-FR"/>
              </w:rPr>
            </w:pPr>
            <w:r w:rsidRPr="000A0215">
              <w:rPr>
                <w:rFonts w:ascii="Calibri" w:eastAsia="Times New Roman" w:hAnsi="Calibri" w:cs="Calibri"/>
                <w:color w:val="000000"/>
                <w:lang w:eastAsia="fr-FR"/>
              </w:rPr>
              <w:t>Contrats doctoraux pérennes (</w:t>
            </w:r>
            <w:r w:rsidR="00E95B6C" w:rsidRPr="000A0215">
              <w:rPr>
                <w:rFonts w:ascii="Calibri" w:eastAsia="Times New Roman" w:hAnsi="Calibri" w:cs="Calibri"/>
                <w:color w:val="000000"/>
                <w:lang w:eastAsia="fr-FR"/>
              </w:rPr>
              <w:t>v</w:t>
            </w:r>
            <w:r w:rsidRPr="000A0215">
              <w:rPr>
                <w:rFonts w:ascii="Calibri" w:eastAsia="Times New Roman" w:hAnsi="Calibri" w:cs="Calibri"/>
                <w:color w:val="000000"/>
                <w:lang w:eastAsia="fr-FR"/>
              </w:rPr>
              <w:t>oté le 8/03/19)</w:t>
            </w:r>
          </w:p>
        </w:tc>
        <w:tc>
          <w:tcPr>
            <w:tcW w:w="2265" w:type="dxa"/>
          </w:tcPr>
          <w:p w:rsidR="00366444" w:rsidRPr="000A0215" w:rsidRDefault="00366444"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1</w:t>
            </w:r>
          </w:p>
        </w:tc>
        <w:tc>
          <w:tcPr>
            <w:tcW w:w="2266" w:type="dxa"/>
          </w:tcPr>
          <w:p w:rsidR="00366444" w:rsidRPr="000A0215" w:rsidRDefault="00366444"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6</w:t>
            </w:r>
          </w:p>
        </w:tc>
        <w:tc>
          <w:tcPr>
            <w:tcW w:w="2266" w:type="dxa"/>
          </w:tcPr>
          <w:p w:rsidR="00366444" w:rsidRPr="000A0215" w:rsidRDefault="00366444"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Paire</w:t>
            </w:r>
          </w:p>
        </w:tc>
      </w:tr>
      <w:tr w:rsidR="00366444" w:rsidRPr="000A0215" w:rsidTr="00366444">
        <w:tc>
          <w:tcPr>
            <w:tcW w:w="2265" w:type="dxa"/>
            <w:vMerge/>
          </w:tcPr>
          <w:p w:rsidR="00366444" w:rsidRPr="000A0215" w:rsidRDefault="00366444" w:rsidP="00366444">
            <w:pPr>
              <w:jc w:val="both"/>
              <w:rPr>
                <w:rFonts w:ascii="Calibri" w:eastAsia="Times New Roman" w:hAnsi="Calibri" w:cs="Calibri"/>
                <w:color w:val="000000"/>
                <w:lang w:eastAsia="fr-FR"/>
              </w:rPr>
            </w:pPr>
          </w:p>
        </w:tc>
        <w:tc>
          <w:tcPr>
            <w:tcW w:w="2265" w:type="dxa"/>
          </w:tcPr>
          <w:p w:rsidR="00366444" w:rsidRPr="000A0215" w:rsidRDefault="00366444"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0</w:t>
            </w:r>
          </w:p>
        </w:tc>
        <w:tc>
          <w:tcPr>
            <w:tcW w:w="2266" w:type="dxa"/>
          </w:tcPr>
          <w:p w:rsidR="00366444" w:rsidRPr="000A0215" w:rsidRDefault="00366444"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7</w:t>
            </w:r>
          </w:p>
        </w:tc>
        <w:tc>
          <w:tcPr>
            <w:tcW w:w="2266" w:type="dxa"/>
          </w:tcPr>
          <w:p w:rsidR="00366444" w:rsidRPr="000A0215" w:rsidRDefault="00366444"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Impaire</w:t>
            </w:r>
          </w:p>
        </w:tc>
      </w:tr>
      <w:tr w:rsidR="00366444" w:rsidRPr="000A0215" w:rsidTr="00366444">
        <w:tc>
          <w:tcPr>
            <w:tcW w:w="2265" w:type="dxa"/>
          </w:tcPr>
          <w:p w:rsidR="00366444" w:rsidRPr="000A0215" w:rsidRDefault="00366444" w:rsidP="00366444">
            <w:pPr>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Contrats supplémentaires LPR 2022 (voté le 1</w:t>
            </w:r>
            <w:r w:rsidRPr="000A0215">
              <w:rPr>
                <w:rFonts w:ascii="Calibri" w:eastAsia="Times New Roman" w:hAnsi="Calibri" w:cs="Calibri"/>
                <w:color w:val="000000"/>
                <w:vertAlign w:val="superscript"/>
                <w:lang w:eastAsia="fr-FR"/>
              </w:rPr>
              <w:t>er</w:t>
            </w:r>
            <w:r w:rsidRPr="000A0215">
              <w:rPr>
                <w:rFonts w:ascii="Calibri" w:eastAsia="Times New Roman" w:hAnsi="Calibri" w:cs="Calibri"/>
                <w:color w:val="000000"/>
                <w:lang w:eastAsia="fr-FR"/>
              </w:rPr>
              <w:t xml:space="preserve"> avril 2022)</w:t>
            </w:r>
          </w:p>
        </w:tc>
        <w:tc>
          <w:tcPr>
            <w:tcW w:w="2265" w:type="dxa"/>
          </w:tcPr>
          <w:p w:rsidR="00366444" w:rsidRPr="000A0215" w:rsidRDefault="00366444" w:rsidP="005A0A9F">
            <w:pPr>
              <w:jc w:val="center"/>
              <w:rPr>
                <w:rFonts w:ascii="Calibri" w:eastAsia="Times New Roman" w:hAnsi="Calibri" w:cs="Calibri"/>
                <w:color w:val="000000"/>
                <w:lang w:eastAsia="fr-FR"/>
              </w:rPr>
            </w:pPr>
          </w:p>
        </w:tc>
        <w:tc>
          <w:tcPr>
            <w:tcW w:w="2266" w:type="dxa"/>
          </w:tcPr>
          <w:p w:rsidR="00366444" w:rsidRPr="000A0215" w:rsidRDefault="00366444"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w:t>
            </w:r>
          </w:p>
        </w:tc>
        <w:tc>
          <w:tcPr>
            <w:tcW w:w="2266" w:type="dxa"/>
          </w:tcPr>
          <w:p w:rsidR="00366444" w:rsidRPr="000A0215" w:rsidRDefault="00366444" w:rsidP="005A0A9F">
            <w:pPr>
              <w:jc w:val="center"/>
              <w:rPr>
                <w:rFonts w:ascii="Calibri" w:eastAsia="Times New Roman" w:hAnsi="Calibri" w:cs="Calibri"/>
                <w:color w:val="000000"/>
                <w:lang w:eastAsia="fr-FR"/>
              </w:rPr>
            </w:pPr>
          </w:p>
        </w:tc>
      </w:tr>
    </w:tbl>
    <w:p w:rsidR="00366444" w:rsidRPr="000A0215" w:rsidRDefault="00366444" w:rsidP="00366444">
      <w:pPr>
        <w:shd w:val="clear" w:color="auto" w:fill="FDFCFA"/>
        <w:spacing w:after="0" w:line="240" w:lineRule="auto"/>
        <w:jc w:val="both"/>
        <w:rPr>
          <w:rFonts w:ascii="Calibri" w:eastAsia="Times New Roman" w:hAnsi="Calibri" w:cs="Calibri"/>
          <w:color w:val="000000"/>
          <w:lang w:eastAsia="fr-FR"/>
        </w:rPr>
      </w:pPr>
    </w:p>
    <w:p w:rsidR="00366444" w:rsidRPr="000A0215" w:rsidRDefault="00366444" w:rsidP="00366444">
      <w:pPr>
        <w:shd w:val="clear" w:color="auto" w:fill="FDFCFA"/>
        <w:spacing w:after="0" w:line="240" w:lineRule="auto"/>
        <w:jc w:val="both"/>
        <w:rPr>
          <w:noProof/>
        </w:rPr>
      </w:pPr>
      <w:r w:rsidRPr="000A0215">
        <w:rPr>
          <w:b/>
          <w:noProof/>
          <w:u w:val="single"/>
        </w:rPr>
        <w:t>P</w:t>
      </w:r>
      <w:r w:rsidR="00E95B6C" w:rsidRPr="000A0215">
        <w:rPr>
          <w:b/>
          <w:noProof/>
          <w:u w:val="single"/>
        </w:rPr>
        <w:t>rojection p</w:t>
      </w:r>
      <w:r w:rsidRPr="000A0215">
        <w:rPr>
          <w:b/>
          <w:noProof/>
          <w:u w:val="single"/>
        </w:rPr>
        <w:t>our l’année 2023</w:t>
      </w:r>
      <w:r w:rsidRPr="000A0215">
        <w:rPr>
          <w:noProof/>
        </w:rPr>
        <w:t>, sachant que nous sommes sur une année impaire, HNFB pou</w:t>
      </w:r>
      <w:r w:rsidR="00BE24CA" w:rsidRPr="000A0215">
        <w:rPr>
          <w:noProof/>
        </w:rPr>
        <w:t>r</w:t>
      </w:r>
      <w:r w:rsidRPr="000A0215">
        <w:rPr>
          <w:noProof/>
        </w:rPr>
        <w:t>rait bénéficier de 7 contrats sur le volant pérenne. Concernant les contrats suplémentaires, l’UL a utilisé un nombre supérieure de contrats à ce qui lui</w:t>
      </w:r>
      <w:r w:rsidR="00BD62DD" w:rsidRPr="000A0215">
        <w:rPr>
          <w:noProof/>
        </w:rPr>
        <w:t xml:space="preserve"> </w:t>
      </w:r>
      <w:r w:rsidRPr="000A0215">
        <w:rPr>
          <w:noProof/>
        </w:rPr>
        <w:t xml:space="preserve">était aloué en 2022. </w:t>
      </w:r>
      <w:r w:rsidR="005A7348" w:rsidRPr="000A0215">
        <w:rPr>
          <w:noProof/>
        </w:rPr>
        <w:t>LLECT</w:t>
      </w:r>
      <w:r w:rsidRPr="000A0215">
        <w:rPr>
          <w:noProof/>
        </w:rPr>
        <w:t xml:space="preserve"> ne dispose donc pas de 2 contrats supplémentaires mais d’un seul. Ce contrat serait attribué à Hiscant.</w:t>
      </w:r>
    </w:p>
    <w:p w:rsidR="00366444" w:rsidRPr="000A0215" w:rsidRDefault="00366444" w:rsidP="00366444">
      <w:pPr>
        <w:shd w:val="clear" w:color="auto" w:fill="FDFCFA"/>
        <w:spacing w:after="0" w:line="240" w:lineRule="auto"/>
        <w:jc w:val="both"/>
        <w:rPr>
          <w:rFonts w:ascii="Calibri" w:eastAsia="Times New Roman" w:hAnsi="Calibri" w:cs="Calibri"/>
          <w:color w:val="000000"/>
          <w:lang w:eastAsia="fr-FR"/>
        </w:rPr>
      </w:pPr>
    </w:p>
    <w:tbl>
      <w:tblPr>
        <w:tblStyle w:val="Grilledutableau"/>
        <w:tblW w:w="0" w:type="auto"/>
        <w:tblLook w:val="04A0" w:firstRow="1" w:lastRow="0" w:firstColumn="1" w:lastColumn="0" w:noHBand="0" w:noVBand="1"/>
      </w:tblPr>
      <w:tblGrid>
        <w:gridCol w:w="2265"/>
        <w:gridCol w:w="2265"/>
        <w:gridCol w:w="2266"/>
      </w:tblGrid>
      <w:tr w:rsidR="00BA0927" w:rsidRPr="000A0215" w:rsidTr="00C274AF">
        <w:tc>
          <w:tcPr>
            <w:tcW w:w="2265" w:type="dxa"/>
          </w:tcPr>
          <w:p w:rsidR="00BA0927" w:rsidRPr="000A0215" w:rsidRDefault="00BA0927" w:rsidP="00C274AF">
            <w:pPr>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2023</w:t>
            </w:r>
          </w:p>
        </w:tc>
        <w:tc>
          <w:tcPr>
            <w:tcW w:w="2265" w:type="dxa"/>
          </w:tcPr>
          <w:p w:rsidR="00BA0927" w:rsidRPr="000A0215" w:rsidRDefault="00BA0927" w:rsidP="005A0A9F">
            <w:pPr>
              <w:jc w:val="center"/>
              <w:rPr>
                <w:rFonts w:ascii="Calibri" w:eastAsia="Times New Roman" w:hAnsi="Calibri" w:cs="Calibri"/>
                <w:color w:val="000000"/>
                <w:lang w:eastAsia="fr-FR"/>
              </w:rPr>
            </w:pPr>
            <w:proofErr w:type="spellStart"/>
            <w:r w:rsidRPr="000A0215">
              <w:rPr>
                <w:rFonts w:ascii="Calibri" w:eastAsia="Times New Roman" w:hAnsi="Calibri" w:cs="Calibri"/>
                <w:color w:val="000000"/>
                <w:lang w:eastAsia="fr-FR"/>
              </w:rPr>
              <w:t>Hiscant</w:t>
            </w:r>
            <w:proofErr w:type="spellEnd"/>
          </w:p>
          <w:p w:rsidR="00BA0927" w:rsidRPr="000A0215" w:rsidRDefault="00BA0927"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SLTC</w:t>
            </w:r>
          </w:p>
        </w:tc>
        <w:tc>
          <w:tcPr>
            <w:tcW w:w="2266" w:type="dxa"/>
          </w:tcPr>
          <w:p w:rsidR="00BA0927" w:rsidRPr="000A0215" w:rsidRDefault="00BA0927"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HNFB</w:t>
            </w:r>
          </w:p>
        </w:tc>
      </w:tr>
      <w:tr w:rsidR="00BA0927" w:rsidRPr="000A0215" w:rsidTr="00C274AF">
        <w:tc>
          <w:tcPr>
            <w:tcW w:w="2265" w:type="dxa"/>
          </w:tcPr>
          <w:p w:rsidR="00BA0927" w:rsidRPr="000A0215" w:rsidRDefault="00BA0927" w:rsidP="00C274AF">
            <w:pPr>
              <w:rPr>
                <w:rFonts w:ascii="Calibri" w:eastAsia="Times New Roman" w:hAnsi="Calibri" w:cs="Calibri"/>
                <w:color w:val="000000"/>
                <w:lang w:eastAsia="fr-FR"/>
              </w:rPr>
            </w:pPr>
            <w:r w:rsidRPr="000A0215">
              <w:rPr>
                <w:rFonts w:ascii="Calibri" w:eastAsia="Times New Roman" w:hAnsi="Calibri" w:cs="Calibri"/>
                <w:color w:val="000000"/>
                <w:lang w:eastAsia="fr-FR"/>
              </w:rPr>
              <w:t xml:space="preserve">Contrats doctoraux pérennes </w:t>
            </w:r>
          </w:p>
        </w:tc>
        <w:tc>
          <w:tcPr>
            <w:tcW w:w="2265" w:type="dxa"/>
          </w:tcPr>
          <w:p w:rsidR="00BA0927" w:rsidRPr="000A0215" w:rsidRDefault="00BA0927"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0</w:t>
            </w:r>
          </w:p>
        </w:tc>
        <w:tc>
          <w:tcPr>
            <w:tcW w:w="2266" w:type="dxa"/>
          </w:tcPr>
          <w:p w:rsidR="00BA0927" w:rsidRPr="000A0215" w:rsidRDefault="00BA0927"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7</w:t>
            </w:r>
          </w:p>
        </w:tc>
      </w:tr>
      <w:tr w:rsidR="00BA0927" w:rsidRPr="000A0215" w:rsidTr="00C274AF">
        <w:tc>
          <w:tcPr>
            <w:tcW w:w="2265" w:type="dxa"/>
          </w:tcPr>
          <w:p w:rsidR="00BA0927" w:rsidRPr="000A0215" w:rsidRDefault="00BA0927" w:rsidP="00C274AF">
            <w:pPr>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 xml:space="preserve">Contrat supplémentaire LPR </w:t>
            </w:r>
          </w:p>
        </w:tc>
        <w:tc>
          <w:tcPr>
            <w:tcW w:w="2265" w:type="dxa"/>
          </w:tcPr>
          <w:p w:rsidR="00BA0927" w:rsidRPr="000A0215" w:rsidRDefault="00BA0927"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1</w:t>
            </w:r>
          </w:p>
        </w:tc>
        <w:tc>
          <w:tcPr>
            <w:tcW w:w="2266" w:type="dxa"/>
          </w:tcPr>
          <w:p w:rsidR="00BA0927" w:rsidRPr="000A0215" w:rsidRDefault="00BA0927"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0</w:t>
            </w:r>
          </w:p>
        </w:tc>
      </w:tr>
    </w:tbl>
    <w:p w:rsidR="00366444" w:rsidRPr="000A0215" w:rsidRDefault="00366444" w:rsidP="00366444">
      <w:pPr>
        <w:shd w:val="clear" w:color="auto" w:fill="FDFCFA"/>
        <w:spacing w:after="0" w:line="240" w:lineRule="auto"/>
        <w:jc w:val="both"/>
        <w:rPr>
          <w:rFonts w:ascii="Calibri" w:eastAsia="Times New Roman" w:hAnsi="Calibri" w:cs="Calibri"/>
          <w:color w:val="000000"/>
          <w:lang w:eastAsia="fr-FR"/>
        </w:rPr>
      </w:pPr>
    </w:p>
    <w:p w:rsidR="00E95B6C" w:rsidRPr="000A0215" w:rsidRDefault="00E95B6C" w:rsidP="00366444">
      <w:pPr>
        <w:shd w:val="clear" w:color="auto" w:fill="FDFCFA"/>
        <w:spacing w:after="0" w:line="240" w:lineRule="auto"/>
        <w:jc w:val="both"/>
        <w:rPr>
          <w:rFonts w:ascii="Calibri" w:eastAsia="Times New Roman" w:hAnsi="Calibri" w:cs="Calibri"/>
          <w:color w:val="000000"/>
          <w:lang w:eastAsia="fr-FR"/>
        </w:rPr>
      </w:pPr>
      <w:r w:rsidRPr="000A0215">
        <w:rPr>
          <w:rFonts w:ascii="Calibri" w:eastAsia="Times New Roman" w:hAnsi="Calibri" w:cs="Calibri"/>
          <w:b/>
          <w:color w:val="000000"/>
          <w:u w:val="single"/>
          <w:lang w:eastAsia="fr-FR"/>
        </w:rPr>
        <w:t>Pour le pôle CLCS</w:t>
      </w:r>
      <w:r w:rsidRPr="000A0215">
        <w:rPr>
          <w:rFonts w:ascii="Calibri" w:eastAsia="Times New Roman" w:hAnsi="Calibri" w:cs="Calibri"/>
          <w:color w:val="000000"/>
          <w:lang w:eastAsia="fr-FR"/>
        </w:rPr>
        <w:t>, il n’y a pas de répartition en année paire ou impaire.</w:t>
      </w:r>
    </w:p>
    <w:p w:rsidR="00E95B6C" w:rsidRPr="000A0215" w:rsidRDefault="00E95B6C" w:rsidP="00366444">
      <w:pPr>
        <w:shd w:val="clear" w:color="auto" w:fill="FDFCFA"/>
        <w:spacing w:after="0" w:line="240" w:lineRule="auto"/>
        <w:jc w:val="both"/>
        <w:rPr>
          <w:rFonts w:ascii="Calibri" w:eastAsia="Times New Roman" w:hAnsi="Calibri" w:cs="Calibri"/>
          <w:color w:val="000000"/>
          <w:lang w:eastAsia="fr-FR"/>
        </w:rPr>
      </w:pPr>
    </w:p>
    <w:tbl>
      <w:tblPr>
        <w:tblStyle w:val="Grilledutableau"/>
        <w:tblW w:w="0" w:type="auto"/>
        <w:tblLook w:val="04A0" w:firstRow="1" w:lastRow="0" w:firstColumn="1" w:lastColumn="0" w:noHBand="0" w:noVBand="1"/>
      </w:tblPr>
      <w:tblGrid>
        <w:gridCol w:w="2088"/>
        <w:gridCol w:w="1613"/>
        <w:gridCol w:w="1745"/>
        <w:gridCol w:w="1820"/>
        <w:gridCol w:w="1796"/>
      </w:tblGrid>
      <w:tr w:rsidR="00E95B6C" w:rsidRPr="000A0215" w:rsidTr="00E95B6C">
        <w:tc>
          <w:tcPr>
            <w:tcW w:w="2088" w:type="dxa"/>
          </w:tcPr>
          <w:p w:rsidR="00E95B6C" w:rsidRPr="000A0215" w:rsidRDefault="00E95B6C" w:rsidP="00C274AF">
            <w:pPr>
              <w:jc w:val="both"/>
              <w:rPr>
                <w:rFonts w:ascii="Calibri" w:eastAsia="Times New Roman" w:hAnsi="Calibri" w:cs="Calibri"/>
                <w:color w:val="000000"/>
                <w:lang w:eastAsia="fr-FR"/>
              </w:rPr>
            </w:pPr>
          </w:p>
        </w:tc>
        <w:tc>
          <w:tcPr>
            <w:tcW w:w="1613"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Année</w:t>
            </w:r>
          </w:p>
        </w:tc>
        <w:tc>
          <w:tcPr>
            <w:tcW w:w="1745"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SLTC</w:t>
            </w:r>
          </w:p>
        </w:tc>
        <w:tc>
          <w:tcPr>
            <w:tcW w:w="1820" w:type="dxa"/>
          </w:tcPr>
          <w:p w:rsidR="008544A4"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HNFB</w:t>
            </w:r>
          </w:p>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(CREM, 2L2S)</w:t>
            </w:r>
          </w:p>
        </w:tc>
        <w:tc>
          <w:tcPr>
            <w:tcW w:w="1796"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Total</w:t>
            </w:r>
          </w:p>
        </w:tc>
      </w:tr>
      <w:tr w:rsidR="00E95B6C" w:rsidRPr="000A0215" w:rsidTr="00E95B6C">
        <w:tc>
          <w:tcPr>
            <w:tcW w:w="2088" w:type="dxa"/>
            <w:vMerge w:val="restart"/>
          </w:tcPr>
          <w:p w:rsidR="00E95B6C" w:rsidRPr="000A0215" w:rsidRDefault="00E95B6C" w:rsidP="00C274AF">
            <w:pPr>
              <w:rPr>
                <w:rFonts w:ascii="Calibri" w:eastAsia="Times New Roman" w:hAnsi="Calibri" w:cs="Calibri"/>
                <w:color w:val="000000"/>
                <w:lang w:eastAsia="fr-FR"/>
              </w:rPr>
            </w:pPr>
            <w:r w:rsidRPr="000A0215">
              <w:rPr>
                <w:rFonts w:ascii="Calibri" w:eastAsia="Times New Roman" w:hAnsi="Calibri" w:cs="Calibri"/>
                <w:color w:val="000000"/>
                <w:lang w:eastAsia="fr-FR"/>
              </w:rPr>
              <w:t>Contrats doctoraux pérennes (voté le 8/03/19)</w:t>
            </w:r>
          </w:p>
        </w:tc>
        <w:tc>
          <w:tcPr>
            <w:tcW w:w="1613"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2020</w:t>
            </w:r>
          </w:p>
        </w:tc>
        <w:tc>
          <w:tcPr>
            <w:tcW w:w="1745"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6</w:t>
            </w:r>
          </w:p>
        </w:tc>
        <w:tc>
          <w:tcPr>
            <w:tcW w:w="1820"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w:t>
            </w:r>
          </w:p>
        </w:tc>
        <w:tc>
          <w:tcPr>
            <w:tcW w:w="1796"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8</w:t>
            </w:r>
          </w:p>
        </w:tc>
      </w:tr>
      <w:tr w:rsidR="00E95B6C" w:rsidRPr="000A0215" w:rsidTr="00E95B6C">
        <w:tc>
          <w:tcPr>
            <w:tcW w:w="2088" w:type="dxa"/>
            <w:vMerge/>
          </w:tcPr>
          <w:p w:rsidR="00E95B6C" w:rsidRPr="000A0215" w:rsidRDefault="00E95B6C" w:rsidP="00C274AF">
            <w:pPr>
              <w:jc w:val="both"/>
              <w:rPr>
                <w:rFonts w:ascii="Calibri" w:eastAsia="Times New Roman" w:hAnsi="Calibri" w:cs="Calibri"/>
                <w:color w:val="000000"/>
                <w:lang w:eastAsia="fr-FR"/>
              </w:rPr>
            </w:pPr>
          </w:p>
        </w:tc>
        <w:tc>
          <w:tcPr>
            <w:tcW w:w="1613"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2021</w:t>
            </w:r>
          </w:p>
        </w:tc>
        <w:tc>
          <w:tcPr>
            <w:tcW w:w="1745"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6</w:t>
            </w:r>
          </w:p>
        </w:tc>
        <w:tc>
          <w:tcPr>
            <w:tcW w:w="1820"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w:t>
            </w:r>
          </w:p>
        </w:tc>
        <w:tc>
          <w:tcPr>
            <w:tcW w:w="1796"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8</w:t>
            </w:r>
          </w:p>
        </w:tc>
      </w:tr>
      <w:tr w:rsidR="00E95B6C" w:rsidRPr="000A0215" w:rsidTr="00E95B6C">
        <w:tc>
          <w:tcPr>
            <w:tcW w:w="2088" w:type="dxa"/>
            <w:vMerge/>
          </w:tcPr>
          <w:p w:rsidR="00E95B6C" w:rsidRPr="000A0215" w:rsidRDefault="00E95B6C" w:rsidP="00C274AF">
            <w:pPr>
              <w:jc w:val="both"/>
              <w:rPr>
                <w:rFonts w:ascii="Calibri" w:eastAsia="Times New Roman" w:hAnsi="Calibri" w:cs="Calibri"/>
                <w:color w:val="000000"/>
                <w:lang w:eastAsia="fr-FR"/>
              </w:rPr>
            </w:pPr>
          </w:p>
        </w:tc>
        <w:tc>
          <w:tcPr>
            <w:tcW w:w="1613"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2022</w:t>
            </w:r>
          </w:p>
        </w:tc>
        <w:tc>
          <w:tcPr>
            <w:tcW w:w="1745"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6</w:t>
            </w:r>
          </w:p>
        </w:tc>
        <w:tc>
          <w:tcPr>
            <w:tcW w:w="1820"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w:t>
            </w:r>
          </w:p>
        </w:tc>
        <w:tc>
          <w:tcPr>
            <w:tcW w:w="1796"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8</w:t>
            </w:r>
          </w:p>
        </w:tc>
      </w:tr>
      <w:tr w:rsidR="00E95B6C" w:rsidRPr="000A0215" w:rsidTr="00E95B6C">
        <w:tc>
          <w:tcPr>
            <w:tcW w:w="2088" w:type="dxa"/>
          </w:tcPr>
          <w:p w:rsidR="00E95B6C" w:rsidRPr="000A0215" w:rsidRDefault="00E95B6C" w:rsidP="00C274AF">
            <w:pPr>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Contrats supplémentaires LPR 2022 (voté le 1</w:t>
            </w:r>
            <w:r w:rsidRPr="000A0215">
              <w:rPr>
                <w:rFonts w:ascii="Calibri" w:eastAsia="Times New Roman" w:hAnsi="Calibri" w:cs="Calibri"/>
                <w:color w:val="000000"/>
                <w:vertAlign w:val="superscript"/>
                <w:lang w:eastAsia="fr-FR"/>
              </w:rPr>
              <w:t>er</w:t>
            </w:r>
            <w:r w:rsidRPr="000A0215">
              <w:rPr>
                <w:rFonts w:ascii="Calibri" w:eastAsia="Times New Roman" w:hAnsi="Calibri" w:cs="Calibri"/>
                <w:color w:val="000000"/>
                <w:lang w:eastAsia="fr-FR"/>
              </w:rPr>
              <w:t xml:space="preserve"> avril 2022)</w:t>
            </w:r>
          </w:p>
        </w:tc>
        <w:tc>
          <w:tcPr>
            <w:tcW w:w="1613"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2022</w:t>
            </w:r>
          </w:p>
        </w:tc>
        <w:tc>
          <w:tcPr>
            <w:tcW w:w="1745"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1</w:t>
            </w:r>
          </w:p>
        </w:tc>
        <w:tc>
          <w:tcPr>
            <w:tcW w:w="1820"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1</w:t>
            </w:r>
          </w:p>
        </w:tc>
        <w:tc>
          <w:tcPr>
            <w:tcW w:w="1796"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w:t>
            </w:r>
          </w:p>
        </w:tc>
      </w:tr>
      <w:tr w:rsidR="00E95B6C" w:rsidRPr="000A0215" w:rsidTr="00E95B6C">
        <w:tc>
          <w:tcPr>
            <w:tcW w:w="2088" w:type="dxa"/>
          </w:tcPr>
          <w:p w:rsidR="00E95B6C" w:rsidRPr="000A0215" w:rsidRDefault="00E95B6C" w:rsidP="00C274AF">
            <w:pPr>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Total 2022</w:t>
            </w:r>
          </w:p>
        </w:tc>
        <w:tc>
          <w:tcPr>
            <w:tcW w:w="1613" w:type="dxa"/>
          </w:tcPr>
          <w:p w:rsidR="00E95B6C" w:rsidRPr="000A0215" w:rsidRDefault="00E95B6C" w:rsidP="005A0A9F">
            <w:pPr>
              <w:jc w:val="center"/>
              <w:rPr>
                <w:rFonts w:ascii="Calibri" w:eastAsia="Times New Roman" w:hAnsi="Calibri" w:cs="Calibri"/>
                <w:color w:val="000000"/>
                <w:lang w:eastAsia="fr-FR"/>
              </w:rPr>
            </w:pPr>
          </w:p>
        </w:tc>
        <w:tc>
          <w:tcPr>
            <w:tcW w:w="1745"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7</w:t>
            </w:r>
          </w:p>
        </w:tc>
        <w:tc>
          <w:tcPr>
            <w:tcW w:w="1820"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3</w:t>
            </w:r>
          </w:p>
        </w:tc>
        <w:tc>
          <w:tcPr>
            <w:tcW w:w="1796" w:type="dxa"/>
          </w:tcPr>
          <w:p w:rsidR="00E95B6C" w:rsidRPr="000A0215" w:rsidRDefault="00E95B6C" w:rsidP="005A0A9F">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10</w:t>
            </w:r>
          </w:p>
        </w:tc>
      </w:tr>
    </w:tbl>
    <w:p w:rsidR="00CB25EA" w:rsidRPr="000A0215" w:rsidRDefault="00CB25EA" w:rsidP="00CE2FCE">
      <w:pPr>
        <w:shd w:val="clear" w:color="auto" w:fill="FDFCFA"/>
        <w:spacing w:after="0" w:line="240" w:lineRule="auto"/>
        <w:rPr>
          <w:rFonts w:ascii="Arial" w:eastAsia="Times New Roman" w:hAnsi="Arial" w:cs="Arial"/>
          <w:color w:val="000000"/>
          <w:sz w:val="24"/>
          <w:szCs w:val="24"/>
          <w:lang w:eastAsia="fr-FR"/>
        </w:rPr>
      </w:pPr>
    </w:p>
    <w:p w:rsidR="00E95B6C" w:rsidRPr="000A0215" w:rsidRDefault="00E95B6C" w:rsidP="00E95B6C">
      <w:pPr>
        <w:shd w:val="clear" w:color="auto" w:fill="FDFCFA"/>
        <w:spacing w:after="0" w:line="240" w:lineRule="auto"/>
        <w:jc w:val="both"/>
        <w:rPr>
          <w:noProof/>
        </w:rPr>
      </w:pPr>
      <w:r w:rsidRPr="000A0215">
        <w:rPr>
          <w:b/>
          <w:noProof/>
          <w:u w:val="single"/>
        </w:rPr>
        <w:t>Projection pour l’année 2023</w:t>
      </w:r>
      <w:r w:rsidRPr="000A0215">
        <w:rPr>
          <w:noProof/>
        </w:rPr>
        <w:t xml:space="preserve">, </w:t>
      </w:r>
      <w:r w:rsidR="006E4F2C" w:rsidRPr="000A0215">
        <w:rPr>
          <w:noProof/>
        </w:rPr>
        <w:t xml:space="preserve">1 seul contrat supplémentaire est affecté au pôle. Ce qui entraîne </w:t>
      </w:r>
      <w:r w:rsidRPr="000A0215">
        <w:rPr>
          <w:noProof/>
        </w:rPr>
        <w:t>une incertitude</w:t>
      </w:r>
      <w:r w:rsidR="006E4F2C" w:rsidRPr="000A0215">
        <w:rPr>
          <w:noProof/>
        </w:rPr>
        <w:t xml:space="preserve"> dès lors que le pôle ne dispose plus de 10 contrats mais de 9</w:t>
      </w:r>
      <w:r w:rsidRPr="000A0215">
        <w:rPr>
          <w:noProof/>
        </w:rPr>
        <w:t xml:space="preserve">. </w:t>
      </w:r>
      <w:r w:rsidR="006E4F2C" w:rsidRPr="000A0215">
        <w:rPr>
          <w:noProof/>
        </w:rPr>
        <w:t xml:space="preserve">Deux possibilités s’offrent donc : </w:t>
      </w:r>
    </w:p>
    <w:p w:rsidR="006E4F2C" w:rsidRPr="000A0215" w:rsidRDefault="006E4F2C" w:rsidP="00E95B6C">
      <w:pPr>
        <w:shd w:val="clear" w:color="auto" w:fill="FDFCFA"/>
        <w:spacing w:after="0" w:line="240" w:lineRule="auto"/>
        <w:jc w:val="both"/>
        <w:rPr>
          <w:noProof/>
        </w:rPr>
      </w:pPr>
    </w:p>
    <w:tbl>
      <w:tblPr>
        <w:tblStyle w:val="Grilledutableau"/>
        <w:tblW w:w="0" w:type="auto"/>
        <w:tblLook w:val="04A0" w:firstRow="1" w:lastRow="0" w:firstColumn="1" w:lastColumn="0" w:noHBand="0" w:noVBand="1"/>
      </w:tblPr>
      <w:tblGrid>
        <w:gridCol w:w="2058"/>
        <w:gridCol w:w="907"/>
        <w:gridCol w:w="908"/>
        <w:gridCol w:w="881"/>
        <w:gridCol w:w="882"/>
      </w:tblGrid>
      <w:tr w:rsidR="006E4F2C" w:rsidRPr="000A0215" w:rsidTr="006E4F2C">
        <w:tc>
          <w:tcPr>
            <w:tcW w:w="2058" w:type="dxa"/>
          </w:tcPr>
          <w:p w:rsidR="006E4F2C" w:rsidRPr="000A0215" w:rsidRDefault="006E4F2C" w:rsidP="00C274AF">
            <w:pPr>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2023</w:t>
            </w:r>
          </w:p>
        </w:tc>
        <w:tc>
          <w:tcPr>
            <w:tcW w:w="1815" w:type="dxa"/>
            <w:gridSpan w:val="2"/>
          </w:tcPr>
          <w:p w:rsidR="006E4F2C" w:rsidRPr="000A0215" w:rsidRDefault="00BA0927"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1</w:t>
            </w:r>
            <w:r w:rsidRPr="000A0215">
              <w:rPr>
                <w:rFonts w:ascii="Calibri" w:eastAsia="Times New Roman" w:hAnsi="Calibri" w:cs="Calibri"/>
                <w:color w:val="000000"/>
                <w:vertAlign w:val="superscript"/>
                <w:lang w:eastAsia="fr-FR"/>
              </w:rPr>
              <w:t>e</w:t>
            </w:r>
            <w:r w:rsidRPr="000A0215">
              <w:rPr>
                <w:rFonts w:ascii="Calibri" w:eastAsia="Times New Roman" w:hAnsi="Calibri" w:cs="Calibri"/>
                <w:color w:val="000000"/>
                <w:lang w:eastAsia="fr-FR"/>
              </w:rPr>
              <w:t xml:space="preserve"> possibilité</w:t>
            </w:r>
          </w:p>
        </w:tc>
        <w:tc>
          <w:tcPr>
            <w:tcW w:w="1763" w:type="dxa"/>
            <w:gridSpan w:val="2"/>
          </w:tcPr>
          <w:p w:rsidR="006E4F2C" w:rsidRPr="000A0215" w:rsidRDefault="002635BA"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w:t>
            </w:r>
            <w:r w:rsidRPr="000A0215">
              <w:rPr>
                <w:rFonts w:ascii="Calibri" w:eastAsia="Times New Roman" w:hAnsi="Calibri" w:cs="Calibri"/>
                <w:color w:val="000000"/>
                <w:vertAlign w:val="superscript"/>
                <w:lang w:eastAsia="fr-FR"/>
              </w:rPr>
              <w:t>e</w:t>
            </w:r>
            <w:r w:rsidRPr="000A0215">
              <w:rPr>
                <w:rFonts w:ascii="Calibri" w:eastAsia="Times New Roman" w:hAnsi="Calibri" w:cs="Calibri"/>
                <w:color w:val="000000"/>
                <w:lang w:eastAsia="fr-FR"/>
              </w:rPr>
              <w:t xml:space="preserve"> possibilité</w:t>
            </w:r>
          </w:p>
        </w:tc>
      </w:tr>
      <w:tr w:rsidR="006E4F2C" w:rsidRPr="000A0215" w:rsidTr="00514679">
        <w:tc>
          <w:tcPr>
            <w:tcW w:w="2058" w:type="dxa"/>
          </w:tcPr>
          <w:p w:rsidR="006E4F2C" w:rsidRPr="000A0215" w:rsidRDefault="006E4F2C" w:rsidP="00C274AF">
            <w:pPr>
              <w:jc w:val="both"/>
              <w:rPr>
                <w:rFonts w:ascii="Calibri" w:eastAsia="Times New Roman" w:hAnsi="Calibri" w:cs="Calibri"/>
                <w:color w:val="000000"/>
                <w:lang w:eastAsia="fr-FR"/>
              </w:rPr>
            </w:pPr>
          </w:p>
        </w:tc>
        <w:tc>
          <w:tcPr>
            <w:tcW w:w="907" w:type="dxa"/>
          </w:tcPr>
          <w:p w:rsidR="006E4F2C" w:rsidRPr="000A0215" w:rsidRDefault="002635BA" w:rsidP="002635BA">
            <w:pPr>
              <w:ind w:left="708" w:hanging="708"/>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SLTC</w:t>
            </w:r>
            <w:r w:rsidR="006E4F2C" w:rsidRPr="000A0215">
              <w:rPr>
                <w:rFonts w:ascii="Calibri" w:eastAsia="Times New Roman" w:hAnsi="Calibri" w:cs="Calibri"/>
                <w:color w:val="000000"/>
                <w:lang w:eastAsia="fr-FR"/>
              </w:rPr>
              <w:t xml:space="preserve"> </w:t>
            </w:r>
          </w:p>
        </w:tc>
        <w:tc>
          <w:tcPr>
            <w:tcW w:w="908" w:type="dxa"/>
          </w:tcPr>
          <w:p w:rsidR="006E4F2C" w:rsidRPr="000A0215" w:rsidRDefault="002635BA"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HN-FB</w:t>
            </w:r>
            <w:r w:rsidR="006E4F2C" w:rsidRPr="000A0215">
              <w:rPr>
                <w:rFonts w:ascii="Calibri" w:eastAsia="Times New Roman" w:hAnsi="Calibri" w:cs="Calibri"/>
                <w:color w:val="000000"/>
                <w:lang w:eastAsia="fr-FR"/>
              </w:rPr>
              <w:t xml:space="preserve"> </w:t>
            </w:r>
          </w:p>
        </w:tc>
        <w:tc>
          <w:tcPr>
            <w:tcW w:w="881" w:type="dxa"/>
          </w:tcPr>
          <w:p w:rsidR="006E4F2C" w:rsidRPr="000A0215" w:rsidRDefault="002635BA"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SLTC</w:t>
            </w:r>
            <w:r w:rsidR="006E4F2C" w:rsidRPr="000A0215">
              <w:rPr>
                <w:rFonts w:ascii="Calibri" w:eastAsia="Times New Roman" w:hAnsi="Calibri" w:cs="Calibri"/>
                <w:color w:val="000000"/>
                <w:lang w:eastAsia="fr-FR"/>
              </w:rPr>
              <w:t xml:space="preserve"> </w:t>
            </w:r>
          </w:p>
        </w:tc>
        <w:tc>
          <w:tcPr>
            <w:tcW w:w="882" w:type="dxa"/>
          </w:tcPr>
          <w:p w:rsidR="006E4F2C" w:rsidRPr="000A0215" w:rsidRDefault="002635BA"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HN-FN</w:t>
            </w:r>
            <w:r w:rsidR="006E4F2C" w:rsidRPr="000A0215">
              <w:rPr>
                <w:rFonts w:ascii="Calibri" w:eastAsia="Times New Roman" w:hAnsi="Calibri" w:cs="Calibri"/>
                <w:color w:val="000000"/>
                <w:lang w:eastAsia="fr-FR"/>
              </w:rPr>
              <w:t xml:space="preserve"> </w:t>
            </w:r>
          </w:p>
        </w:tc>
      </w:tr>
      <w:tr w:rsidR="006E4F2C" w:rsidRPr="000A0215" w:rsidTr="00964700">
        <w:tc>
          <w:tcPr>
            <w:tcW w:w="2058" w:type="dxa"/>
          </w:tcPr>
          <w:p w:rsidR="006E4F2C" w:rsidRPr="000A0215" w:rsidRDefault="006E4F2C" w:rsidP="00C274AF">
            <w:pPr>
              <w:rPr>
                <w:rFonts w:ascii="Calibri" w:eastAsia="Times New Roman" w:hAnsi="Calibri" w:cs="Calibri"/>
                <w:color w:val="000000"/>
                <w:lang w:eastAsia="fr-FR"/>
              </w:rPr>
            </w:pPr>
            <w:r w:rsidRPr="000A0215">
              <w:rPr>
                <w:rFonts w:ascii="Calibri" w:eastAsia="Times New Roman" w:hAnsi="Calibri" w:cs="Calibri"/>
                <w:color w:val="000000"/>
                <w:lang w:eastAsia="fr-FR"/>
              </w:rPr>
              <w:t xml:space="preserve">Contrats doctoraux pérennes </w:t>
            </w:r>
          </w:p>
        </w:tc>
        <w:tc>
          <w:tcPr>
            <w:tcW w:w="907" w:type="dxa"/>
          </w:tcPr>
          <w:p w:rsidR="006E4F2C" w:rsidRPr="000A0215" w:rsidRDefault="006E4F2C"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6</w:t>
            </w:r>
          </w:p>
        </w:tc>
        <w:tc>
          <w:tcPr>
            <w:tcW w:w="908" w:type="dxa"/>
          </w:tcPr>
          <w:p w:rsidR="006E4F2C" w:rsidRPr="000A0215" w:rsidRDefault="002635BA"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w:t>
            </w:r>
          </w:p>
        </w:tc>
        <w:tc>
          <w:tcPr>
            <w:tcW w:w="881" w:type="dxa"/>
          </w:tcPr>
          <w:p w:rsidR="006E4F2C" w:rsidRPr="000A0215" w:rsidRDefault="002635BA"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6</w:t>
            </w:r>
          </w:p>
        </w:tc>
        <w:tc>
          <w:tcPr>
            <w:tcW w:w="882" w:type="dxa"/>
          </w:tcPr>
          <w:p w:rsidR="006E4F2C" w:rsidRPr="000A0215" w:rsidRDefault="006E4F2C"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w:t>
            </w:r>
          </w:p>
        </w:tc>
      </w:tr>
      <w:tr w:rsidR="006E4F2C" w:rsidRPr="000A0215" w:rsidTr="00EE498A">
        <w:tc>
          <w:tcPr>
            <w:tcW w:w="2058" w:type="dxa"/>
          </w:tcPr>
          <w:p w:rsidR="006E4F2C" w:rsidRPr="000A0215" w:rsidRDefault="006E4F2C" w:rsidP="00C274AF">
            <w:pPr>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 xml:space="preserve">Contrat supplémentaire LPR </w:t>
            </w:r>
          </w:p>
        </w:tc>
        <w:tc>
          <w:tcPr>
            <w:tcW w:w="907" w:type="dxa"/>
          </w:tcPr>
          <w:p w:rsidR="006E4F2C" w:rsidRPr="000A0215" w:rsidRDefault="006E4F2C"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0</w:t>
            </w:r>
          </w:p>
        </w:tc>
        <w:tc>
          <w:tcPr>
            <w:tcW w:w="908" w:type="dxa"/>
          </w:tcPr>
          <w:p w:rsidR="006E4F2C" w:rsidRPr="000A0215" w:rsidRDefault="006E4F2C"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1</w:t>
            </w:r>
          </w:p>
        </w:tc>
        <w:tc>
          <w:tcPr>
            <w:tcW w:w="881" w:type="dxa"/>
          </w:tcPr>
          <w:p w:rsidR="006E4F2C" w:rsidRPr="000A0215" w:rsidRDefault="006E4F2C"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1</w:t>
            </w:r>
          </w:p>
        </w:tc>
        <w:tc>
          <w:tcPr>
            <w:tcW w:w="882" w:type="dxa"/>
          </w:tcPr>
          <w:p w:rsidR="006E4F2C" w:rsidRPr="000A0215" w:rsidRDefault="006E4F2C"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0</w:t>
            </w:r>
          </w:p>
        </w:tc>
      </w:tr>
      <w:tr w:rsidR="006E4F2C" w:rsidRPr="000A0215" w:rsidTr="00EE498A">
        <w:tc>
          <w:tcPr>
            <w:tcW w:w="2058" w:type="dxa"/>
          </w:tcPr>
          <w:p w:rsidR="006E4F2C" w:rsidRPr="000A0215" w:rsidRDefault="006E4F2C" w:rsidP="00C274AF">
            <w:pPr>
              <w:jc w:val="both"/>
              <w:rPr>
                <w:rFonts w:ascii="Calibri" w:eastAsia="Times New Roman" w:hAnsi="Calibri" w:cs="Calibri"/>
                <w:color w:val="000000"/>
                <w:lang w:eastAsia="fr-FR"/>
              </w:rPr>
            </w:pPr>
            <w:r w:rsidRPr="000A0215">
              <w:rPr>
                <w:rFonts w:ascii="Calibri" w:eastAsia="Times New Roman" w:hAnsi="Calibri" w:cs="Calibri"/>
                <w:color w:val="000000"/>
                <w:lang w:eastAsia="fr-FR"/>
              </w:rPr>
              <w:t>Total</w:t>
            </w:r>
          </w:p>
        </w:tc>
        <w:tc>
          <w:tcPr>
            <w:tcW w:w="907" w:type="dxa"/>
          </w:tcPr>
          <w:p w:rsidR="006E4F2C" w:rsidRPr="000A0215" w:rsidRDefault="006E4F2C"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6</w:t>
            </w:r>
          </w:p>
        </w:tc>
        <w:tc>
          <w:tcPr>
            <w:tcW w:w="908" w:type="dxa"/>
          </w:tcPr>
          <w:p w:rsidR="006E4F2C" w:rsidRPr="000A0215" w:rsidRDefault="002635BA"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3</w:t>
            </w:r>
          </w:p>
        </w:tc>
        <w:tc>
          <w:tcPr>
            <w:tcW w:w="881" w:type="dxa"/>
          </w:tcPr>
          <w:p w:rsidR="006E4F2C" w:rsidRPr="000A0215" w:rsidRDefault="002635BA"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7</w:t>
            </w:r>
          </w:p>
        </w:tc>
        <w:tc>
          <w:tcPr>
            <w:tcW w:w="882" w:type="dxa"/>
          </w:tcPr>
          <w:p w:rsidR="006E4F2C" w:rsidRPr="000A0215" w:rsidRDefault="006E4F2C" w:rsidP="006E4F2C">
            <w:pPr>
              <w:jc w:val="center"/>
              <w:rPr>
                <w:rFonts w:ascii="Calibri" w:eastAsia="Times New Roman" w:hAnsi="Calibri" w:cs="Calibri"/>
                <w:color w:val="000000"/>
                <w:lang w:eastAsia="fr-FR"/>
              </w:rPr>
            </w:pPr>
            <w:r w:rsidRPr="000A0215">
              <w:rPr>
                <w:rFonts w:ascii="Calibri" w:eastAsia="Times New Roman" w:hAnsi="Calibri" w:cs="Calibri"/>
                <w:color w:val="000000"/>
                <w:lang w:eastAsia="fr-FR"/>
              </w:rPr>
              <w:t>2</w:t>
            </w:r>
          </w:p>
        </w:tc>
      </w:tr>
    </w:tbl>
    <w:p w:rsidR="006E4F2C" w:rsidRPr="000A0215" w:rsidRDefault="006E4F2C" w:rsidP="00CE2FCE">
      <w:pPr>
        <w:shd w:val="clear" w:color="auto" w:fill="FDFCFA"/>
        <w:spacing w:after="0" w:line="240" w:lineRule="auto"/>
        <w:rPr>
          <w:rFonts w:ascii="Arial" w:eastAsia="Times New Roman" w:hAnsi="Arial" w:cs="Arial"/>
          <w:color w:val="000000"/>
          <w:sz w:val="24"/>
          <w:szCs w:val="24"/>
          <w:lang w:eastAsia="fr-FR"/>
        </w:rPr>
      </w:pPr>
    </w:p>
    <w:p w:rsidR="00BD62DD" w:rsidRPr="000A0215" w:rsidRDefault="00522897" w:rsidP="00872546">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À</w:t>
      </w:r>
      <w:r w:rsidR="006E4F2C" w:rsidRPr="000A0215">
        <w:rPr>
          <w:rFonts w:eastAsia="Times New Roman" w:cstheme="minorHAnsi"/>
          <w:color w:val="000000"/>
          <w:lang w:eastAsia="fr-FR"/>
        </w:rPr>
        <w:t xml:space="preserve"> ceci s’ajoute </w:t>
      </w:r>
      <w:r w:rsidR="00BD62DD" w:rsidRPr="000A0215">
        <w:rPr>
          <w:rFonts w:eastAsia="Times New Roman" w:cstheme="minorHAnsi"/>
          <w:color w:val="000000"/>
          <w:lang w:eastAsia="fr-FR"/>
        </w:rPr>
        <w:t>trois</w:t>
      </w:r>
      <w:r w:rsidR="006E4F2C" w:rsidRPr="000A0215">
        <w:rPr>
          <w:rFonts w:eastAsia="Times New Roman" w:cstheme="minorHAnsi"/>
          <w:color w:val="000000"/>
          <w:lang w:eastAsia="fr-FR"/>
        </w:rPr>
        <w:t xml:space="preserve"> aspect</w:t>
      </w:r>
      <w:r w:rsidR="00BD62DD" w:rsidRPr="000A0215">
        <w:rPr>
          <w:rFonts w:eastAsia="Times New Roman" w:cstheme="minorHAnsi"/>
          <w:color w:val="000000"/>
          <w:lang w:eastAsia="fr-FR"/>
        </w:rPr>
        <w:t>s</w:t>
      </w:r>
      <w:r w:rsidR="006E4F2C" w:rsidRPr="000A0215">
        <w:rPr>
          <w:rFonts w:eastAsia="Times New Roman" w:cstheme="minorHAnsi"/>
          <w:color w:val="000000"/>
          <w:lang w:eastAsia="fr-FR"/>
        </w:rPr>
        <w:t xml:space="preserve"> supplémentaire</w:t>
      </w:r>
      <w:r w:rsidR="00BD62DD" w:rsidRPr="000A0215">
        <w:rPr>
          <w:rFonts w:eastAsia="Times New Roman" w:cstheme="minorHAnsi"/>
          <w:color w:val="000000"/>
          <w:lang w:eastAsia="fr-FR"/>
        </w:rPr>
        <w:t>s :</w:t>
      </w:r>
    </w:p>
    <w:p w:rsidR="00872546" w:rsidRPr="000A0215" w:rsidRDefault="00BD62DD" w:rsidP="00BD62DD">
      <w:pPr>
        <w:pStyle w:val="Paragraphedeliste"/>
        <w:numPr>
          <w:ilvl w:val="0"/>
          <w:numId w:val="4"/>
        </w:numPr>
        <w:shd w:val="clear" w:color="auto" w:fill="FDFCFA"/>
        <w:spacing w:after="0" w:line="240" w:lineRule="auto"/>
        <w:jc w:val="both"/>
      </w:pPr>
      <w:r w:rsidRPr="000A0215">
        <w:rPr>
          <w:rFonts w:eastAsia="Times New Roman" w:cstheme="minorHAnsi"/>
          <w:color w:val="000000"/>
          <w:lang w:eastAsia="fr-FR"/>
        </w:rPr>
        <w:t>L</w:t>
      </w:r>
      <w:r w:rsidR="006E4F2C" w:rsidRPr="000A0215">
        <w:rPr>
          <w:rFonts w:eastAsia="Times New Roman" w:cstheme="minorHAnsi"/>
          <w:color w:val="000000"/>
          <w:lang w:eastAsia="fr-FR"/>
        </w:rPr>
        <w:t xml:space="preserve">e CS a voté l’attribution de 3 contrats </w:t>
      </w:r>
      <w:r w:rsidR="00522897" w:rsidRPr="000A0215">
        <w:rPr>
          <w:rFonts w:eastAsia="Times New Roman" w:cstheme="minorHAnsi"/>
          <w:color w:val="000000"/>
          <w:lang w:eastAsia="fr-FR"/>
        </w:rPr>
        <w:t xml:space="preserve">à des projets de thèse dont les thématiques sont susceptibles de se rapprocher de celles de la MSH Lorraine ou qui </w:t>
      </w:r>
      <w:r w:rsidR="00872546" w:rsidRPr="000A0215">
        <w:rPr>
          <w:rFonts w:eastAsia="Times New Roman" w:cstheme="minorHAnsi"/>
          <w:color w:val="000000"/>
          <w:lang w:eastAsia="fr-FR"/>
        </w:rPr>
        <w:t>pour</w:t>
      </w:r>
      <w:r w:rsidR="00522897" w:rsidRPr="000A0215">
        <w:rPr>
          <w:rFonts w:eastAsia="Times New Roman" w:cstheme="minorHAnsi"/>
          <w:color w:val="000000"/>
          <w:lang w:eastAsia="fr-FR"/>
        </w:rPr>
        <w:t xml:space="preserve">raient </w:t>
      </w:r>
      <w:r w:rsidR="00872546" w:rsidRPr="000A0215">
        <w:rPr>
          <w:rFonts w:eastAsia="Times New Roman" w:cstheme="minorHAnsi"/>
          <w:color w:val="000000"/>
          <w:lang w:eastAsia="fr-FR"/>
        </w:rPr>
        <w:t xml:space="preserve">utiliser les équipements de la MSH. </w:t>
      </w:r>
      <w:r w:rsidR="00872546" w:rsidRPr="000A0215">
        <w:t xml:space="preserve">Rappel des thématiques de la MSH : </w:t>
      </w:r>
    </w:p>
    <w:p w:rsidR="00872546" w:rsidRPr="000A0215" w:rsidRDefault="00872546" w:rsidP="00BD62DD">
      <w:pPr>
        <w:shd w:val="clear" w:color="auto" w:fill="FDFCFA"/>
        <w:spacing w:after="0" w:line="240" w:lineRule="auto"/>
        <w:ind w:left="1134"/>
        <w:jc w:val="both"/>
      </w:pPr>
      <w:r w:rsidRPr="000A0215">
        <w:t>AXE 1 GERMANOPÔLE &amp; BORDER STUDIES</w:t>
      </w:r>
    </w:p>
    <w:p w:rsidR="00872546" w:rsidRPr="000A0215" w:rsidRDefault="00872546" w:rsidP="00BD62DD">
      <w:pPr>
        <w:shd w:val="clear" w:color="auto" w:fill="FDFCFA"/>
        <w:spacing w:after="0" w:line="240" w:lineRule="auto"/>
        <w:ind w:left="1134"/>
        <w:jc w:val="both"/>
      </w:pPr>
      <w:r w:rsidRPr="000A0215">
        <w:t>AXE 2 CREAVA-CRÉATION ET VALORISATION DE DONNÉES ET DE CORPUS EN SCIENCES HUMAINES ET SOCIALES</w:t>
      </w:r>
    </w:p>
    <w:p w:rsidR="00872546" w:rsidRPr="000A0215" w:rsidRDefault="00872546" w:rsidP="00BD62DD">
      <w:pPr>
        <w:ind w:left="1134"/>
      </w:pPr>
      <w:r w:rsidRPr="000A0215">
        <w:t>AXE 3 EVSTOM-LES SCIENCES HUMAINES ET SOCIALES FACE AUX ÉVOLUTIONS SCIENTIFIQUES ET TECHNOLOGIQUES : NOUVEAUX OBJETS, NOUVELLES MÉTHODES</w:t>
      </w:r>
    </w:p>
    <w:p w:rsidR="00BD62DD" w:rsidRPr="000A0215" w:rsidRDefault="00872546" w:rsidP="00BA0927">
      <w:pPr>
        <w:pStyle w:val="Paragraphedeliste"/>
        <w:numPr>
          <w:ilvl w:val="0"/>
          <w:numId w:val="4"/>
        </w:numPr>
        <w:jc w:val="both"/>
      </w:pPr>
      <w:r w:rsidRPr="000A0215">
        <w:t xml:space="preserve">Un des contrats que nous attribuerons </w:t>
      </w:r>
      <w:r w:rsidR="0083162B" w:rsidRPr="000A0215">
        <w:t>(pôle LLECT)</w:t>
      </w:r>
      <w:r w:rsidRPr="000A0215">
        <w:t xml:space="preserve"> devra donc avoir </w:t>
      </w:r>
      <w:r w:rsidR="00BD62DD" w:rsidRPr="000A0215">
        <w:t>un lien avec la</w:t>
      </w:r>
      <w:r w:rsidRPr="000A0215">
        <w:t xml:space="preserve"> MSH</w:t>
      </w:r>
      <w:r w:rsidR="00BD62DD" w:rsidRPr="000A0215">
        <w:t xml:space="preserve"> (</w:t>
      </w:r>
      <w:r w:rsidR="00E658CB" w:rsidRPr="000A0215">
        <w:t xml:space="preserve">thématique et/ou </w:t>
      </w:r>
      <w:r w:rsidR="0083162B" w:rsidRPr="000A0215">
        <w:t>avec</w:t>
      </w:r>
      <w:r w:rsidR="00E658CB" w:rsidRPr="000A0215">
        <w:t xml:space="preserve"> utilisation des outils </w:t>
      </w:r>
      <w:r w:rsidR="0083162B" w:rsidRPr="000A0215">
        <w:t>que</w:t>
      </w:r>
      <w:r w:rsidR="00E658CB" w:rsidRPr="000A0215">
        <w:t xml:space="preserve"> la MSH</w:t>
      </w:r>
      <w:r w:rsidR="0083162B" w:rsidRPr="000A0215">
        <w:t xml:space="preserve"> met à disposition des chercheur.es</w:t>
      </w:r>
      <w:r w:rsidR="00BD62DD" w:rsidRPr="000A0215">
        <w:t>)</w:t>
      </w:r>
      <w:r w:rsidR="00E658CB" w:rsidRPr="000A0215">
        <w:t>.</w:t>
      </w:r>
    </w:p>
    <w:p w:rsidR="00872546" w:rsidRPr="000A0215" w:rsidRDefault="00BD62DD" w:rsidP="00BA0927">
      <w:pPr>
        <w:pStyle w:val="Paragraphedeliste"/>
        <w:numPr>
          <w:ilvl w:val="0"/>
          <w:numId w:val="4"/>
        </w:numPr>
        <w:jc w:val="both"/>
      </w:pPr>
      <w:r w:rsidRPr="000A0215">
        <w:t>L</w:t>
      </w:r>
      <w:r w:rsidR="00D77857" w:rsidRPr="000A0215">
        <w:t>’UL réserve un contrat handicap.</w:t>
      </w:r>
    </w:p>
    <w:p w:rsidR="006E4F2C" w:rsidRPr="000A0215" w:rsidRDefault="00522897" w:rsidP="00522897">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 xml:space="preserve"> </w:t>
      </w:r>
    </w:p>
    <w:p w:rsidR="00CB25EA" w:rsidRPr="000A0215" w:rsidRDefault="00CB25EA" w:rsidP="00954BB6">
      <w:pPr>
        <w:pStyle w:val="Paragraphedeliste"/>
        <w:numPr>
          <w:ilvl w:val="0"/>
          <w:numId w:val="1"/>
        </w:numPr>
        <w:shd w:val="clear" w:color="auto" w:fill="FDFCFA"/>
        <w:spacing w:after="0" w:line="240" w:lineRule="auto"/>
        <w:rPr>
          <w:rFonts w:eastAsia="Times New Roman" w:cstheme="minorHAnsi"/>
          <w:color w:val="000000"/>
          <w:lang w:eastAsia="fr-FR"/>
        </w:rPr>
      </w:pPr>
      <w:r w:rsidRPr="000A0215">
        <w:rPr>
          <w:rFonts w:eastAsia="Times New Roman" w:cstheme="minorHAnsi"/>
          <w:color w:val="000000"/>
          <w:lang w:eastAsia="fr-FR"/>
        </w:rPr>
        <w:t>Retour des doctorants sur l’EDI</w:t>
      </w:r>
      <w:r w:rsidR="002B079A" w:rsidRPr="000A0215">
        <w:rPr>
          <w:rFonts w:eastAsia="Times New Roman" w:cstheme="minorHAnsi"/>
          <w:color w:val="000000"/>
          <w:lang w:eastAsia="fr-FR"/>
        </w:rPr>
        <w:t xml:space="preserve"> (égalité, diversité, inclusion)</w:t>
      </w:r>
    </w:p>
    <w:p w:rsidR="00117F2F" w:rsidRPr="000A0215" w:rsidRDefault="002B079A" w:rsidP="00CA533E">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Les doctorantes et doctorants ont été convié</w:t>
      </w:r>
      <w:r w:rsidR="00F53E7C" w:rsidRPr="000A0215">
        <w:rPr>
          <w:rFonts w:eastAsia="Times New Roman" w:cstheme="minorHAnsi"/>
          <w:color w:val="000000"/>
          <w:lang w:eastAsia="fr-FR"/>
        </w:rPr>
        <w:t>.e</w:t>
      </w:r>
      <w:r w:rsidRPr="000A0215">
        <w:rPr>
          <w:rFonts w:eastAsia="Times New Roman" w:cstheme="minorHAnsi"/>
          <w:color w:val="000000"/>
          <w:lang w:eastAsia="fr-FR"/>
        </w:rPr>
        <w:t xml:space="preserve">s à une </w:t>
      </w:r>
      <w:r w:rsidR="00F53E7C" w:rsidRPr="000A0215">
        <w:rPr>
          <w:rFonts w:eastAsia="Times New Roman" w:cstheme="minorHAnsi"/>
          <w:color w:val="000000"/>
          <w:lang w:eastAsia="fr-FR"/>
        </w:rPr>
        <w:t>formation</w:t>
      </w:r>
      <w:r w:rsidRPr="000A0215">
        <w:rPr>
          <w:rFonts w:eastAsia="Times New Roman" w:cstheme="minorHAnsi"/>
          <w:color w:val="000000"/>
          <w:lang w:eastAsia="fr-FR"/>
        </w:rPr>
        <w:t xml:space="preserve"> organisée par la Maison du doctorat sur la problématique égalité, diversité, inclusion. Les représentants et représentantes </w:t>
      </w:r>
      <w:r w:rsidR="00CA533E" w:rsidRPr="000A0215">
        <w:rPr>
          <w:rFonts w:eastAsia="Times New Roman" w:cstheme="minorHAnsi"/>
          <w:color w:val="000000"/>
          <w:lang w:eastAsia="fr-FR"/>
        </w:rPr>
        <w:t xml:space="preserve">présent.es au conseil exposent certains aspects de </w:t>
      </w:r>
      <w:r w:rsidR="00F53E7C" w:rsidRPr="000A0215">
        <w:rPr>
          <w:rFonts w:eastAsia="Times New Roman" w:cstheme="minorHAnsi"/>
          <w:color w:val="000000"/>
          <w:lang w:eastAsia="fr-FR"/>
        </w:rPr>
        <w:t>celle-ci</w:t>
      </w:r>
      <w:r w:rsidR="00CA533E" w:rsidRPr="000A0215">
        <w:rPr>
          <w:rFonts w:eastAsia="Times New Roman" w:cstheme="minorHAnsi"/>
          <w:color w:val="000000"/>
          <w:lang w:eastAsia="fr-FR"/>
        </w:rPr>
        <w:t xml:space="preserve"> : définition de ce que recouvrent les termes utilisés et délimitation des </w:t>
      </w:r>
      <w:r w:rsidR="00F53E7C" w:rsidRPr="000A0215">
        <w:rPr>
          <w:rFonts w:eastAsia="Times New Roman" w:cstheme="minorHAnsi"/>
          <w:color w:val="000000"/>
          <w:lang w:eastAsia="fr-FR"/>
        </w:rPr>
        <w:t>problèmes posés</w:t>
      </w:r>
      <w:r w:rsidR="00CA533E" w:rsidRPr="000A0215">
        <w:rPr>
          <w:rFonts w:eastAsia="Times New Roman" w:cstheme="minorHAnsi"/>
          <w:color w:val="000000"/>
          <w:lang w:eastAsia="fr-FR"/>
        </w:rPr>
        <w:t xml:space="preserve"> ; présentation des dispositifs en place et des interlocuteurs </w:t>
      </w:r>
      <w:r w:rsidR="00AC6735" w:rsidRPr="000A0215">
        <w:rPr>
          <w:rFonts w:eastAsia="Times New Roman" w:cstheme="minorHAnsi"/>
          <w:color w:val="000000"/>
          <w:lang w:eastAsia="fr-FR"/>
        </w:rPr>
        <w:t xml:space="preserve">et interlocutrices </w:t>
      </w:r>
      <w:r w:rsidR="00CA533E" w:rsidRPr="000A0215">
        <w:rPr>
          <w:rFonts w:eastAsia="Times New Roman" w:cstheme="minorHAnsi"/>
          <w:color w:val="000000"/>
          <w:lang w:eastAsia="fr-FR"/>
        </w:rPr>
        <w:t>habilité</w:t>
      </w:r>
      <w:r w:rsidR="00AC6735" w:rsidRPr="000A0215">
        <w:rPr>
          <w:rFonts w:eastAsia="Times New Roman" w:cstheme="minorHAnsi"/>
          <w:color w:val="000000"/>
          <w:lang w:eastAsia="fr-FR"/>
        </w:rPr>
        <w:t>.e</w:t>
      </w:r>
      <w:r w:rsidR="00CA533E" w:rsidRPr="000A0215">
        <w:rPr>
          <w:rFonts w:eastAsia="Times New Roman" w:cstheme="minorHAnsi"/>
          <w:color w:val="000000"/>
          <w:lang w:eastAsia="fr-FR"/>
        </w:rPr>
        <w:t>s à intervenir ; communication à leur sujet</w:t>
      </w:r>
      <w:r w:rsidR="00F53E7C" w:rsidRPr="000A0215">
        <w:rPr>
          <w:rFonts w:eastAsia="Times New Roman" w:cstheme="minorHAnsi"/>
          <w:color w:val="000000"/>
          <w:lang w:eastAsia="fr-FR"/>
        </w:rPr>
        <w:t>. Ils notent la lourdeur de la procédure relative aux signalements des faits qui relèvent du harcèlement moral</w:t>
      </w:r>
      <w:r w:rsidR="00AC6735" w:rsidRPr="000A0215">
        <w:rPr>
          <w:rFonts w:eastAsia="Times New Roman" w:cstheme="minorHAnsi"/>
          <w:color w:val="000000"/>
          <w:lang w:eastAsia="fr-FR"/>
        </w:rPr>
        <w:t xml:space="preserve"> mais </w:t>
      </w:r>
      <w:r w:rsidR="00F53E7C" w:rsidRPr="000A0215">
        <w:rPr>
          <w:rFonts w:eastAsia="Times New Roman" w:cstheme="minorHAnsi"/>
          <w:color w:val="000000"/>
          <w:lang w:eastAsia="fr-FR"/>
        </w:rPr>
        <w:t xml:space="preserve">considèrent qu’il est important de généraliser les informations sur ces questions, voire d’élargir les formations au plus grand nombre. À ce sujet, ils demandent à l’ED de diffuser largement les informations et se proposent d’être un relai dans le signalement de faits </w:t>
      </w:r>
      <w:r w:rsidR="00AC6735" w:rsidRPr="000A0215">
        <w:rPr>
          <w:rFonts w:eastAsia="Times New Roman" w:cstheme="minorHAnsi"/>
          <w:color w:val="000000"/>
          <w:lang w:eastAsia="fr-FR"/>
        </w:rPr>
        <w:t>en lien avec</w:t>
      </w:r>
      <w:r w:rsidR="00F53E7C" w:rsidRPr="000A0215">
        <w:rPr>
          <w:rFonts w:eastAsia="Times New Roman" w:cstheme="minorHAnsi"/>
          <w:color w:val="000000"/>
          <w:lang w:eastAsia="fr-FR"/>
        </w:rPr>
        <w:t xml:space="preserve"> l’EDI. </w:t>
      </w:r>
    </w:p>
    <w:p w:rsidR="002B079A" w:rsidRPr="000A0215" w:rsidRDefault="002B079A" w:rsidP="00CE2FCE">
      <w:pPr>
        <w:shd w:val="clear" w:color="auto" w:fill="FDFCFA"/>
        <w:spacing w:after="0" w:line="240" w:lineRule="auto"/>
        <w:rPr>
          <w:rFonts w:eastAsia="Times New Roman" w:cstheme="minorHAnsi"/>
          <w:color w:val="000000"/>
          <w:lang w:eastAsia="fr-FR"/>
        </w:rPr>
      </w:pPr>
    </w:p>
    <w:p w:rsidR="00CE2FCE" w:rsidRPr="000A0215" w:rsidRDefault="00CE2FCE" w:rsidP="00CE2FCE">
      <w:pPr>
        <w:shd w:val="clear" w:color="auto" w:fill="FDFCFA"/>
        <w:spacing w:after="0" w:line="240" w:lineRule="auto"/>
        <w:rPr>
          <w:rFonts w:eastAsia="Times New Roman" w:cstheme="minorHAnsi"/>
          <w:b/>
          <w:i/>
          <w:color w:val="000000"/>
          <w:lang w:eastAsia="fr-FR"/>
        </w:rPr>
      </w:pPr>
      <w:r w:rsidRPr="000A0215">
        <w:rPr>
          <w:rFonts w:eastAsia="Times New Roman" w:cstheme="minorHAnsi"/>
          <w:b/>
          <w:i/>
          <w:color w:val="000000"/>
          <w:lang w:eastAsia="fr-FR"/>
        </w:rPr>
        <w:t>HCERES – Réponse de l'ED aux recommandations </w:t>
      </w:r>
    </w:p>
    <w:p w:rsidR="00117F2F" w:rsidRPr="000A0215" w:rsidRDefault="00117F2F" w:rsidP="00CE2FCE">
      <w:pPr>
        <w:shd w:val="clear" w:color="auto" w:fill="FDFCFA"/>
        <w:spacing w:after="0" w:line="240" w:lineRule="auto"/>
        <w:rPr>
          <w:rFonts w:ascii="Arial" w:eastAsia="Times New Roman" w:hAnsi="Arial" w:cs="Arial"/>
          <w:color w:val="000000"/>
          <w:sz w:val="24"/>
          <w:szCs w:val="24"/>
          <w:lang w:eastAsia="fr-FR"/>
        </w:rPr>
      </w:pPr>
    </w:p>
    <w:tbl>
      <w:tblPr>
        <w:tblW w:w="9923" w:type="dxa"/>
        <w:tblInd w:w="-147" w:type="dxa"/>
        <w:tblLook w:val="04A0" w:firstRow="1" w:lastRow="0" w:firstColumn="1" w:lastColumn="0" w:noHBand="0" w:noVBand="1"/>
      </w:tblPr>
      <w:tblGrid>
        <w:gridCol w:w="4437"/>
        <w:gridCol w:w="5486"/>
      </w:tblGrid>
      <w:tr w:rsidR="00072E86" w:rsidRPr="000A0215" w:rsidTr="005A0A9F">
        <w:trPr>
          <w:trHeight w:val="2174"/>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2E86" w:rsidRPr="000A0215" w:rsidRDefault="00072E86" w:rsidP="00072E86">
            <w:pPr>
              <w:spacing w:before="100" w:beforeAutospacing="1" w:after="100" w:afterAutospacing="1" w:line="240" w:lineRule="auto"/>
              <w:rPr>
                <w:rFonts w:eastAsia="Times New Roman" w:cstheme="minorHAnsi"/>
                <w:i/>
              </w:rPr>
            </w:pPr>
            <w:r w:rsidRPr="000A0215">
              <w:rPr>
                <w:rFonts w:eastAsia="Times New Roman" w:cstheme="minorHAnsi"/>
                <w:i/>
              </w:rPr>
              <w:t>Chercher à réduire la durée des thèses</w:t>
            </w:r>
          </w:p>
        </w:tc>
        <w:tc>
          <w:tcPr>
            <w:tcW w:w="5486" w:type="dxa"/>
            <w:tcBorders>
              <w:top w:val="single" w:sz="4" w:space="0" w:color="auto"/>
              <w:left w:val="single" w:sz="4" w:space="0" w:color="auto"/>
              <w:bottom w:val="single" w:sz="4" w:space="0" w:color="auto"/>
              <w:right w:val="single" w:sz="4" w:space="0" w:color="auto"/>
            </w:tcBorders>
            <w:shd w:val="clear" w:color="auto" w:fill="FFFFFF" w:themeFill="background1"/>
          </w:tcPr>
          <w:p w:rsidR="00072E86" w:rsidRPr="000A0215" w:rsidRDefault="00072E86" w:rsidP="00072E86">
            <w:pPr>
              <w:jc w:val="both"/>
              <w:rPr>
                <w:rFonts w:eastAsia="Times New Roman" w:cstheme="minorHAnsi"/>
              </w:rPr>
            </w:pPr>
          </w:p>
          <w:p w:rsidR="00072E86" w:rsidRPr="000A0215" w:rsidRDefault="00072E86" w:rsidP="00072E86">
            <w:pPr>
              <w:rPr>
                <w:rFonts w:eastAsia="Times New Roman" w:cstheme="minorHAnsi"/>
              </w:rPr>
            </w:pPr>
            <w:r w:rsidRPr="000A0215">
              <w:rPr>
                <w:rFonts w:eastAsia="Times New Roman" w:cstheme="minorHAnsi"/>
              </w:rPr>
              <w:t>La durée moyenne des thèses préparées au sein de l’ED Humanités Nouvelles – Fernand Braudel (61 mois) correspond à la moyenne nationale et ne déroge pas à la réglementation de 2016 qui autorise six années de préparation pour les thèses non financées.</w:t>
            </w:r>
          </w:p>
          <w:p w:rsidR="00072E86" w:rsidRPr="000A0215" w:rsidRDefault="00072E86" w:rsidP="00072E86">
            <w:pPr>
              <w:spacing w:before="240" w:after="200" w:line="240" w:lineRule="auto"/>
              <w:rPr>
                <w:rFonts w:eastAsia="Times New Roman" w:cstheme="minorHAnsi"/>
                <w:color w:val="000000" w:themeColor="text1"/>
              </w:rPr>
            </w:pPr>
            <w:r w:rsidRPr="000A0215">
              <w:rPr>
                <w:rFonts w:eastAsia="Times New Roman" w:cstheme="minorHAnsi"/>
                <w:color w:val="000000" w:themeColor="text1"/>
              </w:rPr>
              <w:t xml:space="preserve">Cependant, au-delà de la seule durée des thèses, il est important d’identifier les causes qui expliquent les dérogations demandées. Cette réflexion a été engagée au sein de l’ED ; elle est à poursuivre. </w:t>
            </w:r>
          </w:p>
          <w:p w:rsidR="00072E86" w:rsidRPr="000A0215" w:rsidRDefault="00072E86" w:rsidP="00072E86">
            <w:pPr>
              <w:spacing w:before="240" w:after="200" w:line="240" w:lineRule="auto"/>
              <w:rPr>
                <w:rFonts w:eastAsia="Times New Roman" w:cstheme="minorHAnsi"/>
                <w:color w:val="000000" w:themeColor="text1"/>
              </w:rPr>
            </w:pPr>
            <w:r w:rsidRPr="000A0215">
              <w:rPr>
                <w:rFonts w:eastAsia="Times New Roman" w:cstheme="minorHAnsi"/>
                <w:color w:val="000000" w:themeColor="text1"/>
              </w:rPr>
              <w:t>D’ores et déjà, les problèmes repérés sont d’ordre scientifique, économique et/ou professionnel. Ils peuvent aussi être d’ordre familial ou relatifs à des questions de santé. Si certains motifs d’interruption ne sont pas du ressort de l’ED, d’autres (scientifiques ou économiques) doivent faire l’objet d’une réflexion commune avec les directeurs de thèse mais aussi d’unités.</w:t>
            </w:r>
          </w:p>
          <w:p w:rsidR="00072E86" w:rsidRPr="000A0215" w:rsidRDefault="00072E86" w:rsidP="00072E86">
            <w:pPr>
              <w:spacing w:before="240" w:after="200" w:line="240" w:lineRule="auto"/>
              <w:rPr>
                <w:rFonts w:eastAsia="Times New Roman" w:cstheme="minorHAnsi"/>
                <w:color w:val="000000" w:themeColor="text1"/>
              </w:rPr>
            </w:pPr>
            <w:r w:rsidRPr="000A0215">
              <w:rPr>
                <w:rFonts w:eastAsia="Times New Roman" w:cstheme="minorHAnsi"/>
                <w:color w:val="000000" w:themeColor="text1"/>
              </w:rPr>
              <w:t xml:space="preserve">En plus des informations transmises en conseil d’ED et dont les directeurs d’unités ou leurs représentants sont les </w:t>
            </w:r>
            <w:r w:rsidRPr="000A0215">
              <w:rPr>
                <w:rFonts w:eastAsia="Times New Roman" w:cstheme="minorHAnsi"/>
                <w:color w:val="000000" w:themeColor="text1"/>
              </w:rPr>
              <w:lastRenderedPageBreak/>
              <w:t>premiers touchés, des réunions seront organisées avec l’ensemble des collègues HDR de l’ED, pour qu’ensemble, nous réfléchissions aux moyens à mettre en place pour accompagner au mieux les doctorants.</w:t>
            </w:r>
          </w:p>
        </w:tc>
      </w:tr>
      <w:tr w:rsidR="00072E86" w:rsidRPr="000A0215" w:rsidTr="005A0A9F">
        <w:trPr>
          <w:trHeight w:val="1408"/>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2E86" w:rsidRPr="000A0215" w:rsidRDefault="00072E86" w:rsidP="00072E86">
            <w:pPr>
              <w:spacing w:before="100" w:beforeAutospacing="1" w:after="100" w:afterAutospacing="1" w:line="240" w:lineRule="auto"/>
              <w:rPr>
                <w:rFonts w:eastAsia="Times New Roman" w:cstheme="minorHAnsi"/>
                <w:i/>
                <w:color w:val="808080" w:themeColor="background1" w:themeShade="80"/>
              </w:rPr>
            </w:pPr>
            <w:r w:rsidRPr="000A0215">
              <w:rPr>
                <w:rFonts w:eastAsia="Times New Roman" w:cstheme="minorHAnsi"/>
                <w:i/>
              </w:rPr>
              <w:lastRenderedPageBreak/>
              <w:t>Mener une analyse sur les causes d’arrêt de thèse</w:t>
            </w:r>
          </w:p>
        </w:tc>
        <w:tc>
          <w:tcPr>
            <w:tcW w:w="5486" w:type="dxa"/>
            <w:tcBorders>
              <w:top w:val="single" w:sz="4" w:space="0" w:color="auto"/>
              <w:left w:val="single" w:sz="4" w:space="0" w:color="auto"/>
              <w:bottom w:val="single" w:sz="4" w:space="0" w:color="auto"/>
              <w:right w:val="single" w:sz="4" w:space="0" w:color="auto"/>
            </w:tcBorders>
            <w:shd w:val="clear" w:color="auto" w:fill="FFFFFF" w:themeFill="background1"/>
          </w:tcPr>
          <w:p w:rsidR="00072E86" w:rsidRPr="000A0215" w:rsidRDefault="00072E86" w:rsidP="00072E86">
            <w:pPr>
              <w:spacing w:before="240" w:after="200" w:line="240" w:lineRule="auto"/>
              <w:rPr>
                <w:rFonts w:eastAsia="Times New Roman" w:cstheme="minorHAnsi"/>
              </w:rPr>
            </w:pPr>
            <w:r w:rsidRPr="000A0215">
              <w:rPr>
                <w:rFonts w:eastAsia="Times New Roman" w:cstheme="minorHAnsi"/>
              </w:rPr>
              <w:t>Une analyse des causes conduisant à l’arrêt des thèses a été menée au cours du précédent contrat. Les causes recoupent celles identifiées pour la durée des thèses et, contrairement à ce que l’on pourrait penser, elles ne sont pas en lien avec les seules contraintes économiques. En effet, les doctorants mettant un terme à leur thèse sont majoritairement salariés des secteurs publics ou privés.</w:t>
            </w:r>
          </w:p>
          <w:p w:rsidR="00072E86" w:rsidRPr="000A0215" w:rsidRDefault="00072E86" w:rsidP="00072E86">
            <w:pPr>
              <w:spacing w:before="240" w:after="200" w:line="240" w:lineRule="auto"/>
              <w:rPr>
                <w:rFonts w:eastAsia="Times New Roman" w:cstheme="minorHAnsi"/>
                <w:color w:val="000000" w:themeColor="text1"/>
              </w:rPr>
            </w:pPr>
            <w:r w:rsidRPr="000A0215">
              <w:rPr>
                <w:rFonts w:eastAsia="Times New Roman" w:cstheme="minorHAnsi"/>
                <w:color w:val="000000" w:themeColor="text1"/>
              </w:rPr>
              <w:t xml:space="preserve">L’analyse sera poursuivie lors de ce contrat et constituera un point essentiel du projet de l’ED. Il sera pris en charge par le bureau avant d’être soumis au conseil. Les résultats seront corrélés avec les précédentes données, notamment pour mesurer les effets des mesures prises. Celles-ci sont : </w:t>
            </w:r>
          </w:p>
          <w:p w:rsidR="00072E86" w:rsidRPr="000A0215" w:rsidRDefault="00072E86" w:rsidP="00072E86">
            <w:pPr>
              <w:numPr>
                <w:ilvl w:val="0"/>
                <w:numId w:val="3"/>
              </w:numPr>
              <w:spacing w:before="240" w:after="0" w:line="240" w:lineRule="auto"/>
              <w:rPr>
                <w:rFonts w:eastAsia="Times New Roman" w:cstheme="minorHAnsi"/>
                <w:color w:val="000000" w:themeColor="text1"/>
                <w:lang w:eastAsia="fr-FR"/>
              </w:rPr>
            </w:pPr>
            <w:r w:rsidRPr="000A0215">
              <w:rPr>
                <w:rFonts w:eastAsia="Times New Roman" w:cstheme="minorHAnsi"/>
                <w:color w:val="000000" w:themeColor="text1"/>
                <w:lang w:eastAsia="fr-FR"/>
              </w:rPr>
              <w:t xml:space="preserve">un suivi individualisé par le bureau de l’ED dès la première année ; </w:t>
            </w:r>
          </w:p>
          <w:p w:rsidR="00072E86" w:rsidRPr="000A0215" w:rsidRDefault="00072E86" w:rsidP="00072E86">
            <w:pPr>
              <w:numPr>
                <w:ilvl w:val="0"/>
                <w:numId w:val="3"/>
              </w:numPr>
              <w:spacing w:before="240" w:after="0" w:line="240" w:lineRule="auto"/>
              <w:rPr>
                <w:rFonts w:eastAsia="Times New Roman" w:cstheme="minorHAnsi"/>
                <w:color w:val="000000" w:themeColor="text1"/>
                <w:lang w:eastAsia="fr-FR"/>
              </w:rPr>
            </w:pPr>
            <w:r w:rsidRPr="000A0215">
              <w:rPr>
                <w:rFonts w:eastAsia="Times New Roman" w:cstheme="minorHAnsi"/>
                <w:color w:val="000000" w:themeColor="text1"/>
                <w:lang w:eastAsia="fr-FR"/>
              </w:rPr>
              <w:t>un accompagnement personnalisé, par la gestionnaire pédagogique, la gestionnaire administrative et la direction au cours des années suivantes.</w:t>
            </w:r>
          </w:p>
          <w:p w:rsidR="00072E86" w:rsidRPr="000A0215" w:rsidRDefault="00072E86" w:rsidP="00072E86">
            <w:pPr>
              <w:spacing w:before="240" w:after="200" w:line="240" w:lineRule="auto"/>
              <w:rPr>
                <w:rFonts w:eastAsia="Times New Roman" w:cstheme="minorHAnsi"/>
                <w:color w:val="000000" w:themeColor="text1"/>
              </w:rPr>
            </w:pPr>
            <w:r w:rsidRPr="000A0215">
              <w:rPr>
                <w:rFonts w:eastAsia="Times New Roman" w:cstheme="minorHAnsi"/>
                <w:color w:val="000000" w:themeColor="text1"/>
              </w:rPr>
              <w:t>Un programme d’action sera mis en place. Il sera à destination de l’ensemble des unités de recherche, plus particulièrement celles qui sont le plus touchées par ce problème.</w:t>
            </w:r>
          </w:p>
        </w:tc>
      </w:tr>
      <w:tr w:rsidR="00072E86" w:rsidRPr="000A0215" w:rsidTr="005A0A9F">
        <w:trPr>
          <w:trHeight w:val="2174"/>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2E86" w:rsidRPr="000A0215" w:rsidRDefault="00072E86" w:rsidP="00072E86">
            <w:pPr>
              <w:spacing w:before="100" w:beforeAutospacing="1" w:after="100" w:afterAutospacing="1" w:line="240" w:lineRule="auto"/>
              <w:rPr>
                <w:rFonts w:eastAsia="Times New Roman" w:cstheme="minorHAnsi"/>
                <w:i/>
                <w:color w:val="808080" w:themeColor="background1" w:themeShade="80"/>
              </w:rPr>
            </w:pPr>
            <w:r w:rsidRPr="000A0215">
              <w:rPr>
                <w:rFonts w:eastAsia="Times New Roman" w:cstheme="minorHAnsi"/>
                <w:i/>
              </w:rPr>
              <w:t xml:space="preserve">Améliorer le </w:t>
            </w:r>
            <w:r w:rsidRPr="000A0215">
              <w:rPr>
                <w:rFonts w:eastAsia="Times New Roman" w:cstheme="minorHAnsi"/>
              </w:rPr>
              <w:t xml:space="preserve">continuum </w:t>
            </w:r>
            <w:r w:rsidRPr="000A0215">
              <w:rPr>
                <w:rFonts w:eastAsia="Times New Roman" w:cstheme="minorHAnsi"/>
                <w:i/>
              </w:rPr>
              <w:t>master-doctorat en communiquant davantage au niveau du deuxième cycle</w:t>
            </w:r>
          </w:p>
        </w:tc>
        <w:tc>
          <w:tcPr>
            <w:tcW w:w="5486" w:type="dxa"/>
            <w:tcBorders>
              <w:top w:val="single" w:sz="4" w:space="0" w:color="auto"/>
              <w:left w:val="single" w:sz="4" w:space="0" w:color="auto"/>
              <w:bottom w:val="single" w:sz="4" w:space="0" w:color="auto"/>
              <w:right w:val="single" w:sz="4" w:space="0" w:color="auto"/>
            </w:tcBorders>
            <w:shd w:val="clear" w:color="auto" w:fill="FFFFFF" w:themeFill="background1"/>
          </w:tcPr>
          <w:p w:rsidR="00072E86" w:rsidRPr="000A0215" w:rsidRDefault="00072E86" w:rsidP="00072E86">
            <w:pPr>
              <w:contextualSpacing/>
              <w:jc w:val="both"/>
              <w:rPr>
                <w:rFonts w:eastAsia="Times New Roman" w:cstheme="minorHAnsi"/>
                <w:i/>
              </w:rPr>
            </w:pPr>
          </w:p>
          <w:p w:rsidR="00072E86" w:rsidRPr="000A0215" w:rsidRDefault="00072E86" w:rsidP="00072E86">
            <w:pPr>
              <w:contextualSpacing/>
              <w:jc w:val="both"/>
              <w:rPr>
                <w:rFonts w:eastAsia="Times New Roman" w:cstheme="minorHAnsi"/>
              </w:rPr>
            </w:pPr>
            <w:r w:rsidRPr="000A0215">
              <w:rPr>
                <w:rFonts w:eastAsia="Times New Roman" w:cstheme="minorHAnsi"/>
              </w:rPr>
              <w:t>À rebours de cette recommandation, nous considérons comme positive l’importance du nombre de candidats inscrits en thèse qui viennent d’autres établissements. Celle-ci témoigne de l’attractivité de l’ED.</w:t>
            </w:r>
          </w:p>
          <w:p w:rsidR="00072E86" w:rsidRPr="000A0215" w:rsidRDefault="00072E86" w:rsidP="00072E86">
            <w:pPr>
              <w:contextualSpacing/>
              <w:jc w:val="both"/>
              <w:rPr>
                <w:rFonts w:eastAsia="Times New Roman" w:cstheme="minorHAnsi"/>
              </w:rPr>
            </w:pPr>
          </w:p>
          <w:p w:rsidR="00072E86" w:rsidRPr="000A0215" w:rsidRDefault="00072E86" w:rsidP="00072E86">
            <w:pPr>
              <w:contextualSpacing/>
              <w:jc w:val="both"/>
              <w:rPr>
                <w:rFonts w:eastAsia="Times New Roman" w:cstheme="minorHAnsi"/>
              </w:rPr>
            </w:pPr>
            <w:r w:rsidRPr="000A0215">
              <w:rPr>
                <w:rFonts w:eastAsia="Times New Roman" w:cstheme="minorHAnsi"/>
              </w:rPr>
              <w:t>En outre, lors de la dernière contractualisation, le ministère préconisait la création de masters, sans distinction entre professionnalisation et recherche. Dans plusieurs disciplines correspondant au périmètre de l’ED, l’absence de la dénomination « recherche » a conduit une majorité d’étudiants à s’insérer professionnellement dès l’obtention du diplôme, au détriment de l’inscription en thèse.</w:t>
            </w:r>
          </w:p>
          <w:p w:rsidR="00072E86" w:rsidRPr="000A0215" w:rsidRDefault="00072E86" w:rsidP="00072E86">
            <w:pPr>
              <w:contextualSpacing/>
              <w:jc w:val="both"/>
              <w:rPr>
                <w:rFonts w:eastAsia="Times New Roman" w:cstheme="minorHAnsi"/>
              </w:rPr>
            </w:pPr>
          </w:p>
          <w:p w:rsidR="00072E86" w:rsidRPr="000A0215" w:rsidRDefault="00072E86" w:rsidP="00072E86">
            <w:pPr>
              <w:contextualSpacing/>
              <w:jc w:val="both"/>
              <w:rPr>
                <w:rFonts w:eastAsia="Times New Roman" w:cstheme="minorHAnsi"/>
              </w:rPr>
            </w:pPr>
            <w:r w:rsidRPr="000A0215">
              <w:rPr>
                <w:rFonts w:eastAsia="Times New Roman" w:cstheme="minorHAnsi"/>
              </w:rPr>
              <w:t xml:space="preserve">Les réunions d’information que l’ED organise en direction des </w:t>
            </w:r>
            <w:proofErr w:type="spellStart"/>
            <w:r w:rsidRPr="000A0215">
              <w:rPr>
                <w:rFonts w:eastAsia="Times New Roman" w:cstheme="minorHAnsi"/>
              </w:rPr>
              <w:t>masterants</w:t>
            </w:r>
            <w:proofErr w:type="spellEnd"/>
            <w:r w:rsidRPr="000A0215">
              <w:rPr>
                <w:rFonts w:eastAsia="Times New Roman" w:cstheme="minorHAnsi"/>
              </w:rPr>
              <w:t xml:space="preserve"> attirent des candidats déjà convaincus, qui </w:t>
            </w:r>
            <w:r w:rsidRPr="000A0215">
              <w:rPr>
                <w:rFonts w:eastAsia="Times New Roman" w:cstheme="minorHAnsi"/>
              </w:rPr>
              <w:lastRenderedPageBreak/>
              <w:t>recherchent des informations pratiques sur les modalités d’inscription en thèse. Au prochain contrat, l’ED s’adressera aux responsables de master pour leur proposer de rencontrer les étudiants et leur présenter les particularités et visées d’une formation doctorale, trop souvent considérée comme ne conduisant qu’à une carrière académique. Elle mettra également en place une journée d’étude ouverte aux étudiants de master au cours de laquelle des doctorants présenteront leur sujet de thèse.</w:t>
            </w:r>
          </w:p>
        </w:tc>
      </w:tr>
      <w:tr w:rsidR="00072E86" w:rsidRPr="000A0215" w:rsidTr="005A0A9F">
        <w:trPr>
          <w:trHeight w:val="1120"/>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2E86" w:rsidRPr="000A0215" w:rsidRDefault="00072E86" w:rsidP="00072E86">
            <w:pPr>
              <w:spacing w:before="100" w:beforeAutospacing="1" w:after="100" w:afterAutospacing="1" w:line="240" w:lineRule="auto"/>
              <w:rPr>
                <w:rFonts w:eastAsia="Times New Roman" w:cstheme="minorHAnsi"/>
                <w:i/>
                <w:color w:val="808080" w:themeColor="background1" w:themeShade="80"/>
              </w:rPr>
            </w:pPr>
            <w:r w:rsidRPr="000A0215">
              <w:rPr>
                <w:rFonts w:eastAsia="Times New Roman" w:cstheme="minorHAnsi"/>
                <w:i/>
              </w:rPr>
              <w:lastRenderedPageBreak/>
              <w:t xml:space="preserve">Envisager une ouverture partielle aux thématiques relatives aux besoins du marché régional du travail afin d’améliorer l’insertion des futurs docteurs </w:t>
            </w:r>
          </w:p>
        </w:tc>
        <w:tc>
          <w:tcPr>
            <w:tcW w:w="5486" w:type="dxa"/>
            <w:tcBorders>
              <w:top w:val="single" w:sz="4" w:space="0" w:color="auto"/>
              <w:left w:val="single" w:sz="4" w:space="0" w:color="auto"/>
              <w:bottom w:val="single" w:sz="4" w:space="0" w:color="auto"/>
              <w:right w:val="single" w:sz="4" w:space="0" w:color="auto"/>
            </w:tcBorders>
            <w:shd w:val="clear" w:color="auto" w:fill="FFFFFF" w:themeFill="background1"/>
          </w:tcPr>
          <w:p w:rsidR="00072E86" w:rsidRPr="000A0215" w:rsidRDefault="00072E86" w:rsidP="00072E86">
            <w:pPr>
              <w:jc w:val="both"/>
              <w:rPr>
                <w:rFonts w:eastAsia="Times New Roman" w:cstheme="minorHAnsi"/>
              </w:rPr>
            </w:pPr>
            <w:r w:rsidRPr="000A0215">
              <w:rPr>
                <w:rFonts w:eastAsia="Times New Roman" w:cstheme="minorHAnsi"/>
              </w:rPr>
              <w:t xml:space="preserve">Le territoire lorrain n’est que marginalement présent dans les thèses préparées au sein de l’ED HN-FB, et l’insertion locale n’est pas un objectif prioritaire de celles-ci. </w:t>
            </w:r>
          </w:p>
          <w:p w:rsidR="00072E86" w:rsidRPr="000A0215" w:rsidRDefault="00072E86" w:rsidP="00072E86">
            <w:pPr>
              <w:jc w:val="both"/>
              <w:rPr>
                <w:rFonts w:eastAsia="Times New Roman" w:cstheme="minorHAnsi"/>
              </w:rPr>
            </w:pPr>
            <w:r w:rsidRPr="000A0215">
              <w:rPr>
                <w:rFonts w:eastAsia="Times New Roman" w:cstheme="minorHAnsi"/>
              </w:rPr>
              <w:t xml:space="preserve">Et ce pour trois raisons principales, qui sont caractéristiques de l’identité scientifique de l’ED : </w:t>
            </w:r>
          </w:p>
          <w:p w:rsidR="00072E86" w:rsidRPr="000A0215" w:rsidRDefault="00072E86" w:rsidP="00072E86">
            <w:pPr>
              <w:numPr>
                <w:ilvl w:val="0"/>
                <w:numId w:val="2"/>
              </w:numPr>
              <w:contextualSpacing/>
              <w:jc w:val="both"/>
              <w:rPr>
                <w:rFonts w:eastAsia="Times New Roman" w:cstheme="minorHAnsi"/>
              </w:rPr>
            </w:pPr>
            <w:r w:rsidRPr="000A0215">
              <w:rPr>
                <w:rFonts w:eastAsia="Times New Roman" w:cstheme="minorHAnsi"/>
              </w:rPr>
              <w:t xml:space="preserve">l’ED HN-FB accueille des chercheurs de 10 disciplines correspondant à 9 mentions dont une partie en Lettres, en Langues, en Histoire… Ces champs disciplinaires peuvent être en lien avec des thématiques locales tout en ne visant pas une insertion professionnelle régionale. De plus, une majorité de disciplines à concours sont représentées dans l’école, avec pour conséquence de voir les doctorants viser une insertion nationale ou internationale ; </w:t>
            </w:r>
          </w:p>
          <w:p w:rsidR="00072E86" w:rsidRPr="000A0215" w:rsidRDefault="00072E86" w:rsidP="00072E86">
            <w:pPr>
              <w:numPr>
                <w:ilvl w:val="0"/>
                <w:numId w:val="2"/>
              </w:numPr>
              <w:contextualSpacing/>
              <w:jc w:val="both"/>
              <w:rPr>
                <w:rFonts w:eastAsia="Times New Roman" w:cstheme="minorHAnsi"/>
              </w:rPr>
            </w:pPr>
            <w:r w:rsidRPr="000A0215">
              <w:rPr>
                <w:rFonts w:eastAsia="Times New Roman" w:cstheme="minorHAnsi"/>
              </w:rPr>
              <w:t>l’ED HN-FB est attractive sur le plan international en encourageant la préparation de thèses en cotutelle, en mettant en place des partenariats internationaux, en accueillant des doctorantes de diverses aires géographiques ;</w:t>
            </w:r>
          </w:p>
          <w:p w:rsidR="00072E86" w:rsidRPr="000A0215" w:rsidRDefault="00072E86" w:rsidP="00072E86">
            <w:pPr>
              <w:numPr>
                <w:ilvl w:val="0"/>
                <w:numId w:val="2"/>
              </w:numPr>
              <w:contextualSpacing/>
              <w:jc w:val="both"/>
              <w:rPr>
                <w:rFonts w:eastAsia="Times New Roman" w:cstheme="minorHAnsi"/>
              </w:rPr>
            </w:pPr>
            <w:r w:rsidRPr="000A0215">
              <w:rPr>
                <w:rFonts w:eastAsia="Times New Roman" w:cstheme="minorHAnsi"/>
              </w:rPr>
              <w:t>elle est engagée dans un réseau transfrontalier d’universités de la grande Région qui dépasse là encore le cadre local. ;</w:t>
            </w:r>
          </w:p>
          <w:p w:rsidR="00072E86" w:rsidRPr="000A0215" w:rsidRDefault="00072E86" w:rsidP="00072E86">
            <w:pPr>
              <w:numPr>
                <w:ilvl w:val="0"/>
                <w:numId w:val="2"/>
              </w:numPr>
              <w:contextualSpacing/>
              <w:jc w:val="both"/>
              <w:rPr>
                <w:rFonts w:eastAsia="Times New Roman" w:cstheme="minorHAnsi"/>
              </w:rPr>
            </w:pPr>
            <w:r w:rsidRPr="000A0215">
              <w:rPr>
                <w:rFonts w:eastAsia="Times New Roman" w:cstheme="minorHAnsi"/>
              </w:rPr>
              <w:t>elle est associée à un programme ERASMUS +, avec un échange en cours avec la Côte d’Ivoire et reconduit pour la seconde fois, concernant des EC, des Doctorants et des collègues du personnel administratif. Un autre concerne l’Italie.</w:t>
            </w:r>
          </w:p>
          <w:p w:rsidR="00072E86" w:rsidRPr="000A0215" w:rsidRDefault="00072E86" w:rsidP="00072E86">
            <w:pPr>
              <w:spacing w:before="240" w:after="200" w:line="240" w:lineRule="auto"/>
              <w:rPr>
                <w:rFonts w:eastAsia="Times New Roman" w:cstheme="minorHAnsi"/>
                <w:color w:val="000000" w:themeColor="text1"/>
              </w:rPr>
            </w:pPr>
            <w:r w:rsidRPr="000A0215">
              <w:rPr>
                <w:rFonts w:eastAsia="Times New Roman" w:cstheme="minorHAnsi"/>
                <w:color w:val="000000" w:themeColor="text1"/>
              </w:rPr>
              <w:t>De ce fait, la recommandation ne paraît pas pertinente.</w:t>
            </w:r>
          </w:p>
        </w:tc>
      </w:tr>
      <w:tr w:rsidR="00072E86" w:rsidRPr="000A0215" w:rsidTr="005A0A9F">
        <w:trPr>
          <w:trHeight w:val="2174"/>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2E86" w:rsidRPr="000A0215" w:rsidRDefault="00072E86" w:rsidP="00072E86">
            <w:pPr>
              <w:spacing w:before="100" w:beforeAutospacing="1" w:after="100" w:afterAutospacing="1" w:line="240" w:lineRule="auto"/>
              <w:rPr>
                <w:rFonts w:eastAsia="Times New Roman" w:cstheme="minorHAnsi"/>
                <w:i/>
              </w:rPr>
            </w:pPr>
            <w:r w:rsidRPr="000A0215">
              <w:rPr>
                <w:rFonts w:eastAsia="Times New Roman" w:cstheme="minorHAnsi"/>
                <w:i/>
              </w:rPr>
              <w:t>Mener un effort d’augmentation des contrats doctoraux, notamment des contrats CIFRE, avec éventuellement une implication des Programmes d’investissement d’avenir</w:t>
            </w:r>
          </w:p>
        </w:tc>
        <w:tc>
          <w:tcPr>
            <w:tcW w:w="5486" w:type="dxa"/>
            <w:tcBorders>
              <w:top w:val="single" w:sz="4" w:space="0" w:color="auto"/>
              <w:left w:val="single" w:sz="4" w:space="0" w:color="auto"/>
              <w:bottom w:val="single" w:sz="4" w:space="0" w:color="auto"/>
              <w:right w:val="single" w:sz="4" w:space="0" w:color="auto"/>
            </w:tcBorders>
            <w:shd w:val="clear" w:color="auto" w:fill="FFFFFF" w:themeFill="background1"/>
          </w:tcPr>
          <w:p w:rsidR="00072E86" w:rsidRPr="000A0215" w:rsidRDefault="00072E86" w:rsidP="00072E86">
            <w:pPr>
              <w:jc w:val="both"/>
              <w:rPr>
                <w:rFonts w:eastAsia="Times New Roman" w:cstheme="minorHAnsi"/>
              </w:rPr>
            </w:pPr>
          </w:p>
          <w:p w:rsidR="00072E86" w:rsidRPr="000A0215" w:rsidRDefault="00072E86" w:rsidP="00072E86">
            <w:pPr>
              <w:jc w:val="both"/>
              <w:rPr>
                <w:rFonts w:eastAsia="Times New Roman" w:cstheme="minorHAnsi"/>
              </w:rPr>
            </w:pPr>
            <w:r w:rsidRPr="000A0215">
              <w:rPr>
                <w:rFonts w:eastAsia="Times New Roman" w:cstheme="minorHAnsi"/>
              </w:rPr>
              <w:t xml:space="preserve">Des réunions d’information sont organisées pour des étudiants de master afin de leur présenter différents types de financement, dont les contrats CIFRE. </w:t>
            </w:r>
          </w:p>
          <w:p w:rsidR="00072E86" w:rsidRPr="000A0215" w:rsidRDefault="00072E86" w:rsidP="00072E86">
            <w:pPr>
              <w:jc w:val="both"/>
              <w:rPr>
                <w:rFonts w:eastAsia="Times New Roman" w:cstheme="minorHAnsi"/>
              </w:rPr>
            </w:pPr>
            <w:r w:rsidRPr="000A0215">
              <w:rPr>
                <w:rFonts w:eastAsia="Times New Roman" w:cstheme="minorHAnsi"/>
              </w:rPr>
              <w:t xml:space="preserve">Au cours du prochain contrat, les réunions prévues avec les directeurs des unités de recherche et les directeurs de thèses sur les questions de durée et d’interruption seront </w:t>
            </w:r>
            <w:r w:rsidRPr="000A0215">
              <w:rPr>
                <w:rFonts w:eastAsia="Times New Roman" w:cstheme="minorHAnsi"/>
              </w:rPr>
              <w:lastRenderedPageBreak/>
              <w:t xml:space="preserve">en bonne logique l’occasion d’aborder la problématique des financements dédiés. </w:t>
            </w:r>
          </w:p>
          <w:p w:rsidR="00072E86" w:rsidRPr="000A0215" w:rsidRDefault="00072E86" w:rsidP="00072E86">
            <w:pPr>
              <w:jc w:val="both"/>
              <w:rPr>
                <w:rFonts w:eastAsia="Times New Roman" w:cstheme="minorHAnsi"/>
              </w:rPr>
            </w:pPr>
            <w:r w:rsidRPr="000A0215">
              <w:rPr>
                <w:rFonts w:eastAsia="Times New Roman" w:cstheme="minorHAnsi"/>
              </w:rPr>
              <w:t>De façon plus spécifique, une démarche de sensibilisation aux conventions CIFRE sera conduite, et une rencontre sera organisée avec des représentants de l’ANRT, dans le cadre - notamment - du programme « 1 000 doctorants pour les territoires ».</w:t>
            </w:r>
          </w:p>
        </w:tc>
      </w:tr>
    </w:tbl>
    <w:p w:rsidR="00072E86" w:rsidRPr="000A0215" w:rsidRDefault="00072E86" w:rsidP="00954BB6">
      <w:pPr>
        <w:shd w:val="clear" w:color="auto" w:fill="FDFCFA"/>
        <w:spacing w:after="0" w:line="240" w:lineRule="auto"/>
        <w:rPr>
          <w:rFonts w:eastAsia="Times New Roman" w:cstheme="minorHAnsi"/>
          <w:b/>
          <w:i/>
          <w:color w:val="000000"/>
          <w:lang w:eastAsia="fr-FR"/>
        </w:rPr>
      </w:pPr>
    </w:p>
    <w:p w:rsidR="00B742D2" w:rsidRPr="000A0215" w:rsidRDefault="00B742D2" w:rsidP="00B742D2">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Concernant les conventions CIFRE, une journée d’informatio</w:t>
      </w:r>
      <w:r w:rsidR="005A0A9F" w:rsidRPr="000A0215">
        <w:rPr>
          <w:rFonts w:eastAsia="Times New Roman" w:cstheme="minorHAnsi"/>
          <w:color w:val="000000"/>
          <w:lang w:eastAsia="fr-FR"/>
        </w:rPr>
        <w:t>n sera organisée en janvier 2024</w:t>
      </w:r>
      <w:r w:rsidRPr="000A0215">
        <w:rPr>
          <w:rFonts w:eastAsia="Times New Roman" w:cstheme="minorHAnsi"/>
          <w:color w:val="000000"/>
          <w:lang w:eastAsia="fr-FR"/>
        </w:rPr>
        <w:t>. Elle réunira des représentants de la MDD, de l’ANRT et des collègues expérimentés sur ce sujet.</w:t>
      </w:r>
    </w:p>
    <w:p w:rsidR="00B742D2" w:rsidRPr="000A0215" w:rsidRDefault="00B742D2" w:rsidP="00954BB6">
      <w:pPr>
        <w:shd w:val="clear" w:color="auto" w:fill="FDFCFA"/>
        <w:spacing w:after="0" w:line="240" w:lineRule="auto"/>
        <w:rPr>
          <w:rFonts w:eastAsia="Times New Roman" w:cstheme="minorHAnsi"/>
          <w:color w:val="000000"/>
          <w:lang w:eastAsia="fr-FR"/>
        </w:rPr>
      </w:pPr>
    </w:p>
    <w:p w:rsidR="0040157A" w:rsidRPr="000A0215" w:rsidRDefault="0040157A" w:rsidP="0040157A">
      <w:pPr>
        <w:shd w:val="clear" w:color="auto" w:fill="FDFCFA"/>
        <w:spacing w:after="0" w:line="240" w:lineRule="auto"/>
        <w:rPr>
          <w:rFonts w:eastAsia="Times New Roman" w:cstheme="minorHAnsi"/>
          <w:b/>
          <w:i/>
          <w:color w:val="000000"/>
          <w:lang w:eastAsia="fr-FR"/>
        </w:rPr>
      </w:pPr>
      <w:r w:rsidRPr="000A0215">
        <w:rPr>
          <w:rFonts w:eastAsia="Times New Roman" w:cstheme="minorHAnsi"/>
          <w:b/>
          <w:i/>
          <w:color w:val="000000"/>
          <w:lang w:eastAsia="fr-FR"/>
        </w:rPr>
        <w:t xml:space="preserve">Proposition de modification du </w:t>
      </w:r>
      <w:r w:rsidRPr="000A0215">
        <w:rPr>
          <w:rFonts w:eastAsia="Times New Roman" w:cstheme="minorHAnsi"/>
          <w:b/>
          <w:color w:val="000000"/>
          <w:lang w:eastAsia="fr-FR"/>
        </w:rPr>
        <w:t>Vademecum</w:t>
      </w:r>
    </w:p>
    <w:p w:rsidR="0040157A" w:rsidRPr="000A0215" w:rsidRDefault="005C256C" w:rsidP="00B27FFA">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 xml:space="preserve">Des propositions de modification du </w:t>
      </w:r>
      <w:r w:rsidRPr="000A0215">
        <w:rPr>
          <w:rFonts w:eastAsia="Times New Roman" w:cstheme="minorHAnsi"/>
          <w:i/>
          <w:color w:val="000000"/>
          <w:lang w:eastAsia="fr-FR"/>
        </w:rPr>
        <w:t>Vademecum</w:t>
      </w:r>
      <w:r w:rsidRPr="000A0215">
        <w:rPr>
          <w:rFonts w:eastAsia="Times New Roman" w:cstheme="minorHAnsi"/>
          <w:color w:val="000000"/>
          <w:lang w:eastAsia="fr-FR"/>
        </w:rPr>
        <w:t xml:space="preserve"> ont été soumises au conseil. </w:t>
      </w:r>
      <w:r w:rsidR="00B27FFA" w:rsidRPr="000A0215">
        <w:rPr>
          <w:rFonts w:eastAsia="Times New Roman" w:cstheme="minorHAnsi"/>
          <w:color w:val="000000"/>
          <w:lang w:eastAsia="fr-FR"/>
        </w:rPr>
        <w:t>Elles actualisent celui-ci pour le conformer à l’évolution de la réglementation (CSI) et des pratiques de l’ED (Prix de thèse ED, direction).</w:t>
      </w:r>
    </w:p>
    <w:p w:rsidR="00B742D2" w:rsidRPr="000A0215" w:rsidRDefault="00B742D2" w:rsidP="00B27FFA">
      <w:pPr>
        <w:shd w:val="clear" w:color="auto" w:fill="FDFCFA"/>
        <w:spacing w:after="0" w:line="240" w:lineRule="auto"/>
        <w:jc w:val="both"/>
        <w:rPr>
          <w:rFonts w:eastAsia="Times New Roman" w:cstheme="minorHAnsi"/>
          <w:color w:val="000000"/>
          <w:lang w:eastAsia="fr-FR"/>
        </w:rPr>
      </w:pPr>
    </w:p>
    <w:p w:rsidR="00954BB6" w:rsidRPr="000A0215" w:rsidRDefault="00B742D2" w:rsidP="00B742D2">
      <w:pPr>
        <w:shd w:val="clear" w:color="auto" w:fill="FDFCFA"/>
        <w:spacing w:after="0" w:line="240" w:lineRule="auto"/>
        <w:jc w:val="both"/>
        <w:rPr>
          <w:rFonts w:eastAsia="Times New Roman" w:cstheme="minorHAnsi"/>
          <w:i/>
          <w:color w:val="000000"/>
          <w:lang w:eastAsia="fr-FR"/>
        </w:rPr>
      </w:pPr>
      <w:r w:rsidRPr="000A0215">
        <w:rPr>
          <w:rFonts w:eastAsia="Times New Roman" w:cstheme="minorHAnsi"/>
          <w:color w:val="000000"/>
          <w:lang w:eastAsia="fr-FR"/>
        </w:rPr>
        <w:t xml:space="preserve">Une discussion est engagée sur l’opportunité ou non à coordonner les recrutements de doctorantes et doctorants au sein d’une ANR. Pour l’instant, la question reste en </w:t>
      </w:r>
      <w:r w:rsidR="002D423E" w:rsidRPr="000A0215">
        <w:rPr>
          <w:rFonts w:eastAsia="Times New Roman" w:cstheme="minorHAnsi"/>
          <w:color w:val="000000"/>
          <w:lang w:eastAsia="fr-FR"/>
        </w:rPr>
        <w:t>suspen</w:t>
      </w:r>
      <w:r w:rsidR="0078624C" w:rsidRPr="000A0215">
        <w:rPr>
          <w:rFonts w:eastAsia="Times New Roman" w:cstheme="minorHAnsi"/>
          <w:color w:val="000000"/>
          <w:lang w:eastAsia="fr-FR"/>
        </w:rPr>
        <w:t>s</w:t>
      </w:r>
      <w:r w:rsidRPr="000A0215">
        <w:rPr>
          <w:rFonts w:eastAsia="Times New Roman" w:cstheme="minorHAnsi"/>
          <w:color w:val="000000"/>
          <w:lang w:eastAsia="fr-FR"/>
        </w:rPr>
        <w:t xml:space="preserve"> et ce cas n’est pas intégré au </w:t>
      </w:r>
      <w:r w:rsidRPr="000A0215">
        <w:rPr>
          <w:rFonts w:eastAsia="Times New Roman" w:cstheme="minorHAnsi"/>
          <w:i/>
          <w:color w:val="000000"/>
          <w:lang w:eastAsia="fr-FR"/>
        </w:rPr>
        <w:t>Vademecum.</w:t>
      </w:r>
    </w:p>
    <w:p w:rsidR="00B742D2" w:rsidRPr="000A0215" w:rsidRDefault="00B742D2" w:rsidP="00B742D2">
      <w:pPr>
        <w:shd w:val="clear" w:color="auto" w:fill="FDFCFA"/>
        <w:spacing w:after="0" w:line="240" w:lineRule="auto"/>
        <w:jc w:val="both"/>
        <w:rPr>
          <w:rFonts w:eastAsia="Times New Roman" w:cstheme="minorHAnsi"/>
          <w:b/>
          <w:i/>
          <w:color w:val="000000"/>
          <w:lang w:eastAsia="fr-FR"/>
        </w:rPr>
      </w:pPr>
    </w:p>
    <w:p w:rsidR="00B742D2" w:rsidRPr="000A0215" w:rsidRDefault="00B742D2" w:rsidP="00B742D2">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 xml:space="preserve">Les modifications soumises à l’appréciation du Conseil sont mises au vote : elles sont acceptées par la totalité des membres présents. </w:t>
      </w:r>
    </w:p>
    <w:p w:rsidR="00B742D2" w:rsidRPr="000A0215" w:rsidRDefault="00B742D2" w:rsidP="00B742D2">
      <w:pPr>
        <w:shd w:val="clear" w:color="auto" w:fill="FDFCFA"/>
        <w:spacing w:after="0" w:line="240" w:lineRule="auto"/>
        <w:jc w:val="both"/>
        <w:rPr>
          <w:rFonts w:eastAsia="Times New Roman" w:cstheme="minorHAnsi"/>
          <w:color w:val="000000"/>
          <w:lang w:eastAsia="fr-FR"/>
        </w:rPr>
      </w:pPr>
    </w:p>
    <w:p w:rsidR="00117F2F" w:rsidRPr="000A0215" w:rsidRDefault="00CE2FCE" w:rsidP="00CE2FCE">
      <w:pPr>
        <w:shd w:val="clear" w:color="auto" w:fill="FDFCFA"/>
        <w:spacing w:after="0" w:line="240" w:lineRule="auto"/>
        <w:rPr>
          <w:rFonts w:eastAsia="Times New Roman" w:cstheme="minorHAnsi"/>
          <w:b/>
          <w:i/>
          <w:color w:val="000000"/>
          <w:lang w:eastAsia="fr-FR"/>
        </w:rPr>
      </w:pPr>
      <w:r w:rsidRPr="000A0215">
        <w:rPr>
          <w:rFonts w:eastAsia="Times New Roman" w:cstheme="minorHAnsi"/>
          <w:b/>
          <w:i/>
          <w:color w:val="000000"/>
          <w:lang w:eastAsia="fr-FR"/>
        </w:rPr>
        <w:t xml:space="preserve">Tableau des dérogations de Master </w:t>
      </w:r>
      <w:r w:rsidR="0040157A" w:rsidRPr="000A0215">
        <w:rPr>
          <w:rFonts w:eastAsia="Times New Roman" w:cstheme="minorHAnsi"/>
          <w:b/>
          <w:i/>
          <w:color w:val="000000"/>
          <w:lang w:eastAsia="fr-FR"/>
        </w:rPr>
        <w:t xml:space="preserve">1 </w:t>
      </w:r>
      <w:r w:rsidRPr="000A0215">
        <w:rPr>
          <w:rFonts w:eastAsia="Times New Roman" w:cstheme="minorHAnsi"/>
          <w:b/>
          <w:i/>
          <w:color w:val="000000"/>
          <w:lang w:eastAsia="fr-FR"/>
        </w:rPr>
        <w:t>et dérogations des réinscriptions</w:t>
      </w:r>
    </w:p>
    <w:p w:rsidR="00B27FFA" w:rsidRPr="000A0215" w:rsidRDefault="00B27FFA" w:rsidP="00CE2FCE">
      <w:pPr>
        <w:shd w:val="clear" w:color="auto" w:fill="FDFCFA"/>
        <w:spacing w:after="0" w:line="240" w:lineRule="auto"/>
        <w:rPr>
          <w:rFonts w:eastAsia="Times New Roman" w:cstheme="minorHAnsi"/>
          <w:color w:val="000000"/>
          <w:lang w:eastAsia="fr-FR"/>
        </w:rPr>
      </w:pPr>
      <w:r w:rsidRPr="000A0215">
        <w:rPr>
          <w:rFonts w:eastAsia="Times New Roman" w:cstheme="minorHAnsi"/>
          <w:color w:val="000000"/>
          <w:lang w:eastAsia="fr-FR"/>
        </w:rPr>
        <w:t>Nous comptabilisons 42 inscriptions (mars 2023) réparties comme suit.</w:t>
      </w:r>
      <w:r w:rsidR="00EA50E4" w:rsidRPr="000A0215">
        <w:rPr>
          <w:rFonts w:eastAsia="Times New Roman" w:cstheme="minorHAnsi"/>
          <w:color w:val="000000"/>
          <w:lang w:eastAsia="fr-FR"/>
        </w:rPr>
        <w:t xml:space="preserve"> Elles attestent de la diversité de provenance des candidates et candidats : 50 % environ étaient inscrits en Lorraine ; les autres viennent de différentes universités françaises et étrangères.</w:t>
      </w:r>
    </w:p>
    <w:p w:rsidR="00EA50E4" w:rsidRPr="000A0215" w:rsidRDefault="00EA50E4" w:rsidP="00CE2FCE">
      <w:pPr>
        <w:shd w:val="clear" w:color="auto" w:fill="FDFCFA"/>
        <w:spacing w:after="0" w:line="240" w:lineRule="auto"/>
        <w:rPr>
          <w:rFonts w:eastAsia="Times New Roman" w:cstheme="minorHAnsi"/>
          <w:color w:val="000000"/>
          <w:lang w:eastAsia="fr-FR"/>
        </w:rPr>
      </w:pPr>
    </w:p>
    <w:p w:rsidR="00117F2F" w:rsidRPr="000A0215" w:rsidRDefault="00B27FFA" w:rsidP="00B27FFA">
      <w:pPr>
        <w:shd w:val="clear" w:color="auto" w:fill="FDFCFA"/>
        <w:spacing w:after="0" w:line="240" w:lineRule="auto"/>
        <w:jc w:val="center"/>
        <w:rPr>
          <w:rFonts w:ascii="Arial" w:eastAsia="Times New Roman" w:hAnsi="Arial" w:cs="Arial"/>
          <w:color w:val="000000"/>
          <w:sz w:val="24"/>
          <w:szCs w:val="24"/>
          <w:lang w:eastAsia="fr-FR"/>
        </w:rPr>
      </w:pPr>
      <w:r w:rsidRPr="000A0215">
        <w:rPr>
          <w:rFonts w:ascii="Arial" w:eastAsia="Times New Roman" w:hAnsi="Arial" w:cs="Arial"/>
          <w:noProof/>
          <w:color w:val="000000"/>
          <w:sz w:val="24"/>
          <w:szCs w:val="24"/>
          <w:lang w:eastAsia="fr-FR"/>
        </w:rPr>
        <w:drawing>
          <wp:inline distT="0" distB="0" distL="0" distR="0" wp14:anchorId="6492AADB" wp14:editId="57F805A1">
            <wp:extent cx="3556000" cy="1708084"/>
            <wp:effectExtent l="0" t="0" r="6350" b="6985"/>
            <wp:docPr id="14" name="Espace réservé du contenu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Espace réservé du contenu 1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661886" cy="1758945"/>
                    </a:xfrm>
                    <a:prstGeom prst="rect">
                      <a:avLst/>
                    </a:prstGeom>
                  </pic:spPr>
                </pic:pic>
              </a:graphicData>
            </a:graphic>
          </wp:inline>
        </w:drawing>
      </w:r>
    </w:p>
    <w:p w:rsidR="00B27FFA" w:rsidRPr="000A0215" w:rsidRDefault="00B27FFA" w:rsidP="0040157A">
      <w:pPr>
        <w:shd w:val="clear" w:color="auto" w:fill="FDFCFA"/>
        <w:spacing w:after="0" w:line="240" w:lineRule="auto"/>
        <w:rPr>
          <w:rFonts w:eastAsia="Times New Roman" w:cstheme="minorHAnsi"/>
          <w:b/>
          <w:i/>
          <w:color w:val="000000"/>
          <w:lang w:eastAsia="fr-FR"/>
        </w:rPr>
      </w:pPr>
    </w:p>
    <w:p w:rsidR="00BE4247" w:rsidRPr="000A0215" w:rsidRDefault="00BE4247" w:rsidP="00CE4259">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 xml:space="preserve">Nous constatons un nombre </w:t>
      </w:r>
      <w:r w:rsidR="00CE4259" w:rsidRPr="000A0215">
        <w:rPr>
          <w:rFonts w:eastAsia="Times New Roman" w:cstheme="minorHAnsi"/>
          <w:color w:val="000000"/>
          <w:lang w:eastAsia="fr-FR"/>
        </w:rPr>
        <w:t xml:space="preserve">de doctorantes et doctorants étranger.es plus faible que précédemment. Probablement peut-on y voir un effet de la crise sanitaire, de la difficulté à obtenir un visa en France, des relations tendues entre la France et l’Afrique, de la hausse des droits d’inscription qui, sans toucher le doctorat, peut avoir une influence sur le désir de venir en France. </w:t>
      </w:r>
    </w:p>
    <w:p w:rsidR="00CE4259" w:rsidRPr="000A0215" w:rsidRDefault="00CE4259" w:rsidP="00CE4259">
      <w:pPr>
        <w:shd w:val="clear" w:color="auto" w:fill="FDFCFA"/>
        <w:spacing w:after="0" w:line="240" w:lineRule="auto"/>
        <w:jc w:val="both"/>
        <w:rPr>
          <w:rFonts w:eastAsia="Times New Roman" w:cstheme="minorHAnsi"/>
          <w:color w:val="000000"/>
          <w:lang w:eastAsia="fr-FR"/>
        </w:rPr>
      </w:pPr>
    </w:p>
    <w:p w:rsidR="00CE4259" w:rsidRPr="000A0215" w:rsidRDefault="00CE4259" w:rsidP="00CE4259">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 xml:space="preserve">Une discussion s’ensuit sur les difficultés que rencontrent les doctorantes et doctorants étrangers pour régulariser leur situation. Est noté l’écart entre Nancy et Metz dans les délais de traitement des dossiers, Metz mettant plusieurs mois à répondre tandis que les services nancéiens sont réactifs. Un courrier sera fait à la Vice-présidente des Affaires doctorales pour lui signaler ce </w:t>
      </w:r>
      <w:r w:rsidR="00EA50E4" w:rsidRPr="000A0215">
        <w:rPr>
          <w:rFonts w:eastAsia="Times New Roman" w:cstheme="minorHAnsi"/>
          <w:color w:val="000000"/>
          <w:lang w:eastAsia="fr-FR"/>
        </w:rPr>
        <w:t xml:space="preserve">très </w:t>
      </w:r>
      <w:r w:rsidRPr="000A0215">
        <w:rPr>
          <w:rFonts w:eastAsia="Times New Roman" w:cstheme="minorHAnsi"/>
          <w:color w:val="000000"/>
          <w:lang w:eastAsia="fr-FR"/>
        </w:rPr>
        <w:t xml:space="preserve">préjudiciable dysfonctionnement. </w:t>
      </w:r>
    </w:p>
    <w:p w:rsidR="00CE4259" w:rsidRPr="000A0215" w:rsidRDefault="00CE4259" w:rsidP="00CE4259">
      <w:pPr>
        <w:shd w:val="clear" w:color="auto" w:fill="FDFCFA"/>
        <w:spacing w:after="0" w:line="240" w:lineRule="auto"/>
        <w:jc w:val="both"/>
        <w:rPr>
          <w:rFonts w:eastAsia="Times New Roman" w:cstheme="minorHAnsi"/>
          <w:color w:val="000000"/>
          <w:lang w:eastAsia="fr-FR"/>
        </w:rPr>
      </w:pPr>
    </w:p>
    <w:p w:rsidR="00B27FFA" w:rsidRPr="000A0215" w:rsidRDefault="00B27FFA" w:rsidP="0040157A">
      <w:pPr>
        <w:shd w:val="clear" w:color="auto" w:fill="FDFCFA"/>
        <w:spacing w:after="0" w:line="240" w:lineRule="auto"/>
        <w:rPr>
          <w:rFonts w:eastAsia="Times New Roman" w:cstheme="minorHAnsi"/>
          <w:b/>
          <w:i/>
          <w:color w:val="000000"/>
          <w:lang w:eastAsia="fr-FR"/>
        </w:rPr>
      </w:pPr>
      <w:r w:rsidRPr="000A0215">
        <w:rPr>
          <w:rFonts w:eastAsia="Times New Roman" w:cstheme="minorHAnsi"/>
          <w:b/>
          <w:i/>
          <w:color w:val="000000"/>
          <w:lang w:eastAsia="fr-FR"/>
        </w:rPr>
        <w:lastRenderedPageBreak/>
        <w:t>Diplômes français</w:t>
      </w:r>
    </w:p>
    <w:p w:rsidR="00B27FFA" w:rsidRPr="000A0215" w:rsidRDefault="00B27FFA" w:rsidP="0040157A">
      <w:pPr>
        <w:shd w:val="clear" w:color="auto" w:fill="FDFCFA"/>
        <w:spacing w:after="0" w:line="240" w:lineRule="auto"/>
        <w:rPr>
          <w:rFonts w:eastAsia="Times New Roman" w:cstheme="minorHAnsi"/>
          <w:b/>
          <w:i/>
          <w:color w:val="000000"/>
          <w:lang w:eastAsia="fr-FR"/>
        </w:rPr>
      </w:pPr>
    </w:p>
    <w:p w:rsidR="00B27FFA" w:rsidRPr="000A0215" w:rsidRDefault="00B27FFA" w:rsidP="00B27FFA">
      <w:pPr>
        <w:shd w:val="clear" w:color="auto" w:fill="FDFCFA"/>
        <w:spacing w:after="0" w:line="240" w:lineRule="auto"/>
        <w:jc w:val="center"/>
        <w:rPr>
          <w:rFonts w:eastAsia="Times New Roman" w:cstheme="minorHAnsi"/>
          <w:b/>
          <w:i/>
          <w:color w:val="000000"/>
          <w:lang w:eastAsia="fr-FR"/>
        </w:rPr>
      </w:pPr>
      <w:r w:rsidRPr="000A0215">
        <w:rPr>
          <w:rFonts w:eastAsia="Times New Roman" w:cstheme="minorHAnsi"/>
          <w:b/>
          <w:i/>
          <w:noProof/>
          <w:color w:val="000000"/>
          <w:lang w:eastAsia="fr-FR"/>
        </w:rPr>
        <w:drawing>
          <wp:inline distT="0" distB="0" distL="0" distR="0" wp14:anchorId="5CF27989" wp14:editId="19AAB4AE">
            <wp:extent cx="4248150" cy="2368550"/>
            <wp:effectExtent l="0" t="0" r="0" b="0"/>
            <wp:docPr id="11" name="Espace réservé du contenu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Espace réservé du contenu 10"/>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248150" cy="2368550"/>
                    </a:xfrm>
                    <a:prstGeom prst="rect">
                      <a:avLst/>
                    </a:prstGeom>
                  </pic:spPr>
                </pic:pic>
              </a:graphicData>
            </a:graphic>
          </wp:inline>
        </w:drawing>
      </w:r>
    </w:p>
    <w:p w:rsidR="00B27FFA" w:rsidRPr="000A0215" w:rsidRDefault="00B27FFA" w:rsidP="0040157A">
      <w:pPr>
        <w:shd w:val="clear" w:color="auto" w:fill="FDFCFA"/>
        <w:spacing w:after="0" w:line="240" w:lineRule="auto"/>
        <w:rPr>
          <w:rFonts w:eastAsia="Times New Roman" w:cstheme="minorHAnsi"/>
          <w:b/>
          <w:i/>
          <w:color w:val="000000"/>
          <w:lang w:eastAsia="fr-FR"/>
        </w:rPr>
      </w:pPr>
    </w:p>
    <w:p w:rsidR="00B27FFA" w:rsidRPr="000A0215" w:rsidRDefault="00B27FFA" w:rsidP="00B27FFA">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L’ED a accordé 52 dérogations de réinscription sur un total de 227 doctorants inscrits à ce jour.</w:t>
      </w:r>
    </w:p>
    <w:p w:rsidR="00B27FFA" w:rsidRPr="000A0215" w:rsidRDefault="00B27FFA" w:rsidP="00B27FFA">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Les dérogations représentent 22,90 % de nos effectifs.</w:t>
      </w:r>
    </w:p>
    <w:p w:rsidR="00B27FFA" w:rsidRPr="000A0215" w:rsidRDefault="00B27FFA" w:rsidP="00B27FFA">
      <w:pPr>
        <w:shd w:val="clear" w:color="auto" w:fill="FDFCFA"/>
        <w:spacing w:after="0" w:line="240" w:lineRule="auto"/>
        <w:jc w:val="both"/>
        <w:rPr>
          <w:rFonts w:eastAsia="Times New Roman" w:cstheme="minorHAnsi"/>
          <w:color w:val="000000"/>
          <w:lang w:eastAsia="fr-FR"/>
        </w:rPr>
      </w:pPr>
    </w:p>
    <w:p w:rsidR="00B27FFA" w:rsidRPr="000A0215" w:rsidRDefault="00B27FFA" w:rsidP="00B27FFA">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noProof/>
          <w:color w:val="000000"/>
          <w:lang w:eastAsia="fr-FR"/>
        </w:rPr>
        <w:drawing>
          <wp:inline distT="0" distB="0" distL="0" distR="0" wp14:anchorId="0A997FCF" wp14:editId="30D03640">
            <wp:extent cx="5760720" cy="1599565"/>
            <wp:effectExtent l="0" t="0" r="0" b="635"/>
            <wp:docPr id="6" name="Espace réservé du contenu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1599565"/>
                    </a:xfrm>
                    <a:prstGeom prst="rect">
                      <a:avLst/>
                    </a:prstGeom>
                  </pic:spPr>
                </pic:pic>
              </a:graphicData>
            </a:graphic>
          </wp:inline>
        </w:drawing>
      </w:r>
    </w:p>
    <w:p w:rsidR="00B27FFA" w:rsidRPr="000A0215" w:rsidRDefault="00B27FFA" w:rsidP="0040157A">
      <w:pPr>
        <w:shd w:val="clear" w:color="auto" w:fill="FDFCFA"/>
        <w:spacing w:after="0" w:line="240" w:lineRule="auto"/>
        <w:rPr>
          <w:rFonts w:eastAsia="Times New Roman" w:cstheme="minorHAnsi"/>
          <w:b/>
          <w:i/>
          <w:color w:val="000000"/>
          <w:lang w:eastAsia="fr-FR"/>
        </w:rPr>
      </w:pPr>
    </w:p>
    <w:p w:rsidR="0040157A" w:rsidRPr="000A0215" w:rsidRDefault="0040157A" w:rsidP="0040157A">
      <w:pPr>
        <w:shd w:val="clear" w:color="auto" w:fill="FDFCFA"/>
        <w:spacing w:after="0" w:line="240" w:lineRule="auto"/>
        <w:rPr>
          <w:rFonts w:eastAsia="Times New Roman" w:cstheme="minorHAnsi"/>
          <w:b/>
          <w:i/>
          <w:color w:val="000000"/>
          <w:lang w:eastAsia="fr-FR"/>
        </w:rPr>
      </w:pPr>
      <w:r w:rsidRPr="000A0215">
        <w:rPr>
          <w:rFonts w:eastAsia="Times New Roman" w:cstheme="minorHAnsi"/>
          <w:b/>
          <w:i/>
          <w:color w:val="000000"/>
          <w:lang w:eastAsia="fr-FR"/>
        </w:rPr>
        <w:t>Bilan/réflexion des arrêts de thèse de 2019 à 2022</w:t>
      </w:r>
    </w:p>
    <w:p w:rsidR="00911422" w:rsidRPr="000A0215" w:rsidRDefault="007A03D1" w:rsidP="00911422">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On constate un nombre important d’abandons de thèse qui a augmenté en trois ans</w:t>
      </w:r>
      <w:r w:rsidR="00911422" w:rsidRPr="000A0215">
        <w:rPr>
          <w:rFonts w:eastAsia="Times New Roman" w:cstheme="minorHAnsi"/>
          <w:color w:val="000000"/>
          <w:lang w:eastAsia="fr-FR"/>
        </w:rPr>
        <w:t xml:space="preserve"> et qui nécessite une réflexion, d’autant qu’il touche les doctorantes et doctorants sous contrat ou non. Plusieurs raisons peuvent être invoquées :</w:t>
      </w:r>
    </w:p>
    <w:p w:rsidR="0040157A" w:rsidRPr="000A0215" w:rsidRDefault="00911422" w:rsidP="00911422">
      <w:pPr>
        <w:pStyle w:val="Paragraphedeliste"/>
        <w:numPr>
          <w:ilvl w:val="0"/>
          <w:numId w:val="2"/>
        </w:numPr>
        <w:shd w:val="clear" w:color="auto" w:fill="FDFCFA"/>
        <w:spacing w:after="0" w:line="240" w:lineRule="auto"/>
        <w:rPr>
          <w:rFonts w:eastAsia="Times New Roman" w:cstheme="minorHAnsi"/>
          <w:color w:val="000000"/>
          <w:lang w:eastAsia="fr-FR"/>
        </w:rPr>
      </w:pPr>
      <w:r w:rsidRPr="000A0215">
        <w:rPr>
          <w:rFonts w:eastAsia="Times New Roman" w:cstheme="minorHAnsi"/>
          <w:color w:val="000000"/>
          <w:lang w:eastAsia="fr-FR"/>
        </w:rPr>
        <w:t>le suicide d’une doctorante qui a impacté la motivation de doctorants proches ;</w:t>
      </w:r>
    </w:p>
    <w:p w:rsidR="00911422" w:rsidRPr="000A0215" w:rsidRDefault="00911422" w:rsidP="00911422">
      <w:pPr>
        <w:pStyle w:val="Paragraphedeliste"/>
        <w:numPr>
          <w:ilvl w:val="0"/>
          <w:numId w:val="2"/>
        </w:numPr>
        <w:shd w:val="clear" w:color="auto" w:fill="FDFCFA"/>
        <w:spacing w:after="0" w:line="240" w:lineRule="auto"/>
        <w:rPr>
          <w:rFonts w:eastAsia="Times New Roman" w:cstheme="minorHAnsi"/>
          <w:color w:val="000000"/>
          <w:lang w:eastAsia="fr-FR"/>
        </w:rPr>
      </w:pPr>
      <w:r w:rsidRPr="000A0215">
        <w:rPr>
          <w:rFonts w:eastAsia="Times New Roman" w:cstheme="minorHAnsi"/>
          <w:color w:val="000000"/>
          <w:lang w:eastAsia="fr-FR"/>
        </w:rPr>
        <w:t xml:space="preserve">la crise </w:t>
      </w:r>
      <w:proofErr w:type="spellStart"/>
      <w:r w:rsidRPr="000A0215">
        <w:rPr>
          <w:rFonts w:eastAsia="Times New Roman" w:cstheme="minorHAnsi"/>
          <w:color w:val="000000"/>
          <w:lang w:eastAsia="fr-FR"/>
        </w:rPr>
        <w:t>Covid</w:t>
      </w:r>
      <w:proofErr w:type="spellEnd"/>
      <w:r w:rsidRPr="000A0215">
        <w:rPr>
          <w:rFonts w:eastAsia="Times New Roman" w:cstheme="minorHAnsi"/>
          <w:color w:val="000000"/>
          <w:lang w:eastAsia="fr-FR"/>
        </w:rPr>
        <w:t xml:space="preserve"> dont les effets peuvent se faire encore ressentir ;</w:t>
      </w:r>
    </w:p>
    <w:p w:rsidR="00EA50E4" w:rsidRPr="000A0215" w:rsidRDefault="00911422" w:rsidP="00911422">
      <w:pPr>
        <w:pStyle w:val="Paragraphedeliste"/>
        <w:numPr>
          <w:ilvl w:val="0"/>
          <w:numId w:val="2"/>
        </w:numPr>
        <w:shd w:val="clear" w:color="auto" w:fill="FDFCFA"/>
        <w:spacing w:after="0" w:line="240" w:lineRule="auto"/>
        <w:rPr>
          <w:rFonts w:eastAsia="Times New Roman" w:cstheme="minorHAnsi"/>
          <w:color w:val="000000"/>
          <w:lang w:eastAsia="fr-FR"/>
        </w:rPr>
      </w:pPr>
      <w:r w:rsidRPr="000A0215">
        <w:rPr>
          <w:rFonts w:eastAsia="Times New Roman" w:cstheme="minorHAnsi"/>
          <w:color w:val="000000"/>
          <w:lang w:eastAsia="fr-FR"/>
        </w:rPr>
        <w:t>l’action des CSI…</w:t>
      </w:r>
    </w:p>
    <w:p w:rsidR="007A03D1" w:rsidRPr="000A0215" w:rsidRDefault="007A03D1" w:rsidP="00CE2FCE">
      <w:pPr>
        <w:shd w:val="clear" w:color="auto" w:fill="FDFCFA"/>
        <w:spacing w:after="0" w:line="240" w:lineRule="auto"/>
        <w:rPr>
          <w:rFonts w:eastAsia="Times New Roman" w:cstheme="minorHAnsi"/>
          <w:color w:val="000000"/>
          <w:lang w:eastAsia="fr-FR"/>
        </w:rPr>
      </w:pPr>
    </w:p>
    <w:p w:rsidR="00117F2F" w:rsidRPr="000A0215" w:rsidRDefault="007A03D1" w:rsidP="00CE2FCE">
      <w:pPr>
        <w:shd w:val="clear" w:color="auto" w:fill="FDFCFA"/>
        <w:spacing w:after="0" w:line="240" w:lineRule="auto"/>
        <w:rPr>
          <w:rFonts w:ascii="Arial" w:eastAsia="Times New Roman" w:hAnsi="Arial" w:cs="Arial"/>
          <w:color w:val="000000"/>
          <w:sz w:val="24"/>
          <w:szCs w:val="24"/>
          <w:lang w:eastAsia="fr-FR"/>
        </w:rPr>
      </w:pPr>
      <w:r w:rsidRPr="000A0215">
        <w:rPr>
          <w:rFonts w:ascii="Arial" w:eastAsia="Times New Roman" w:hAnsi="Arial" w:cs="Arial"/>
          <w:noProof/>
          <w:color w:val="000000"/>
          <w:sz w:val="24"/>
          <w:szCs w:val="24"/>
          <w:lang w:eastAsia="fr-FR"/>
        </w:rPr>
        <w:drawing>
          <wp:inline distT="0" distB="0" distL="0" distR="0" wp14:anchorId="6E6BF09C" wp14:editId="4D86D64C">
            <wp:extent cx="1543050" cy="622300"/>
            <wp:effectExtent l="0" t="0" r="0" b="6350"/>
            <wp:docPr id="7"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266" cy="622387"/>
                    </a:xfrm>
                    <a:prstGeom prst="rect">
                      <a:avLst/>
                    </a:prstGeom>
                  </pic:spPr>
                </pic:pic>
              </a:graphicData>
            </a:graphic>
          </wp:inline>
        </w:drawing>
      </w:r>
    </w:p>
    <w:p w:rsidR="007A03D1" w:rsidRPr="000A0215" w:rsidRDefault="007A03D1" w:rsidP="00CE2FCE">
      <w:pPr>
        <w:shd w:val="clear" w:color="auto" w:fill="FDFCFA"/>
        <w:spacing w:after="0" w:line="240" w:lineRule="auto"/>
        <w:rPr>
          <w:rFonts w:eastAsia="Times New Roman" w:cstheme="minorHAnsi"/>
          <w:b/>
          <w:color w:val="000000"/>
          <w:lang w:eastAsia="fr-FR"/>
        </w:rPr>
      </w:pPr>
    </w:p>
    <w:p w:rsidR="00911422" w:rsidRPr="000A0215" w:rsidRDefault="00EA50E4" w:rsidP="00911422">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 xml:space="preserve">Ces raisons ne doivent pas nous dispenser d’une réflexion de fond. </w:t>
      </w:r>
      <w:r w:rsidR="00911422" w:rsidRPr="000A0215">
        <w:rPr>
          <w:rFonts w:eastAsia="Times New Roman" w:cstheme="minorHAnsi"/>
          <w:color w:val="000000"/>
          <w:lang w:eastAsia="fr-FR"/>
        </w:rPr>
        <w:t>Dans les mois qui viennent, des rencontres vont être organisées avec plusieurs UR. D’ores et déjà, l’ED encourage les UR à s’emparer de cette question pour tenter d’en identifier les causes et envisager ensemble des solutions.</w:t>
      </w:r>
    </w:p>
    <w:p w:rsidR="00911422" w:rsidRPr="000A0215" w:rsidRDefault="00911422" w:rsidP="00CE2FCE">
      <w:pPr>
        <w:shd w:val="clear" w:color="auto" w:fill="FDFCFA"/>
        <w:spacing w:after="0" w:line="240" w:lineRule="auto"/>
        <w:rPr>
          <w:rFonts w:eastAsia="Times New Roman" w:cstheme="minorHAnsi"/>
          <w:color w:val="000000"/>
          <w:lang w:eastAsia="fr-FR"/>
        </w:rPr>
      </w:pPr>
      <w:r w:rsidRPr="000A0215">
        <w:rPr>
          <w:rFonts w:eastAsia="Times New Roman" w:cstheme="minorHAnsi"/>
          <w:color w:val="000000"/>
          <w:lang w:eastAsia="fr-FR"/>
        </w:rPr>
        <w:t xml:space="preserve"> </w:t>
      </w:r>
    </w:p>
    <w:p w:rsidR="00EA50E4" w:rsidRPr="000A0215" w:rsidRDefault="0040157A" w:rsidP="00CE2FCE">
      <w:pPr>
        <w:shd w:val="clear" w:color="auto" w:fill="FDFCFA"/>
        <w:spacing w:after="0" w:line="240" w:lineRule="auto"/>
        <w:rPr>
          <w:rFonts w:eastAsia="Times New Roman" w:cstheme="minorHAnsi"/>
          <w:b/>
          <w:i/>
          <w:color w:val="000000"/>
          <w:lang w:eastAsia="fr-FR"/>
        </w:rPr>
      </w:pPr>
      <w:r w:rsidRPr="000A0215">
        <w:rPr>
          <w:rFonts w:eastAsia="Times New Roman" w:cstheme="minorHAnsi"/>
          <w:b/>
          <w:i/>
          <w:color w:val="000000"/>
          <w:lang w:eastAsia="fr-FR"/>
        </w:rPr>
        <w:t>Doctorant</w:t>
      </w:r>
      <w:r w:rsidR="00EA50E4" w:rsidRPr="000A0215">
        <w:rPr>
          <w:rFonts w:eastAsia="Times New Roman" w:cstheme="minorHAnsi"/>
          <w:b/>
          <w:i/>
          <w:color w:val="000000"/>
          <w:lang w:eastAsia="fr-FR"/>
        </w:rPr>
        <w:t>s</w:t>
      </w:r>
      <w:r w:rsidRPr="000A0215">
        <w:rPr>
          <w:rFonts w:eastAsia="Times New Roman" w:cstheme="minorHAnsi"/>
          <w:b/>
          <w:i/>
          <w:color w:val="000000"/>
          <w:lang w:eastAsia="fr-FR"/>
        </w:rPr>
        <w:t xml:space="preserve"> ou doctorante</w:t>
      </w:r>
      <w:r w:rsidR="00EA50E4" w:rsidRPr="000A0215">
        <w:rPr>
          <w:rFonts w:eastAsia="Times New Roman" w:cstheme="minorHAnsi"/>
          <w:b/>
          <w:i/>
          <w:color w:val="000000"/>
          <w:lang w:eastAsia="fr-FR"/>
        </w:rPr>
        <w:t>s</w:t>
      </w:r>
      <w:r w:rsidRPr="000A0215">
        <w:rPr>
          <w:rFonts w:eastAsia="Times New Roman" w:cstheme="minorHAnsi"/>
          <w:b/>
          <w:i/>
          <w:color w:val="000000"/>
          <w:lang w:eastAsia="fr-FR"/>
        </w:rPr>
        <w:t xml:space="preserve"> volontaire</w:t>
      </w:r>
      <w:r w:rsidR="00EA50E4" w:rsidRPr="000A0215">
        <w:rPr>
          <w:rFonts w:eastAsia="Times New Roman" w:cstheme="minorHAnsi"/>
          <w:b/>
          <w:i/>
          <w:color w:val="000000"/>
          <w:lang w:eastAsia="fr-FR"/>
        </w:rPr>
        <w:t>s</w:t>
      </w:r>
      <w:r w:rsidRPr="000A0215">
        <w:rPr>
          <w:rFonts w:eastAsia="Times New Roman" w:cstheme="minorHAnsi"/>
          <w:b/>
          <w:i/>
          <w:color w:val="000000"/>
          <w:lang w:eastAsia="fr-FR"/>
        </w:rPr>
        <w:t xml:space="preserve"> </w:t>
      </w:r>
    </w:p>
    <w:p w:rsidR="00EA50E4" w:rsidRPr="000A0215" w:rsidRDefault="00EA50E4" w:rsidP="00EA50E4">
      <w:pPr>
        <w:shd w:val="clear" w:color="auto" w:fill="FDFCFA"/>
        <w:spacing w:after="0" w:line="240" w:lineRule="auto"/>
        <w:jc w:val="both"/>
        <w:rPr>
          <w:rFonts w:eastAsia="Times New Roman" w:cs="Calibri"/>
          <w:color w:val="000000"/>
          <w:lang w:eastAsia="fr-FR"/>
        </w:rPr>
      </w:pPr>
      <w:r w:rsidRPr="000A0215">
        <w:rPr>
          <w:rFonts w:eastAsia="Times New Roman" w:cs="Calibri"/>
          <w:color w:val="000000"/>
          <w:lang w:eastAsia="fr-FR"/>
        </w:rPr>
        <w:t xml:space="preserve">Lucie </w:t>
      </w:r>
      <w:proofErr w:type="spellStart"/>
      <w:r w:rsidRPr="000A0215">
        <w:rPr>
          <w:rFonts w:eastAsia="Times New Roman" w:cs="Calibri"/>
          <w:color w:val="000000"/>
          <w:lang w:eastAsia="fr-FR"/>
        </w:rPr>
        <w:t>Rydzek</w:t>
      </w:r>
      <w:proofErr w:type="spellEnd"/>
      <w:r w:rsidRPr="000A0215">
        <w:rPr>
          <w:rFonts w:eastAsia="Times New Roman" w:cs="Calibri"/>
          <w:color w:val="000000"/>
          <w:lang w:eastAsia="fr-FR"/>
        </w:rPr>
        <w:t xml:space="preserve"> propose </w:t>
      </w:r>
      <w:r w:rsidR="005939E6" w:rsidRPr="000A0215">
        <w:rPr>
          <w:rFonts w:eastAsia="Times New Roman" w:cs="Calibri"/>
          <w:color w:val="000000"/>
          <w:lang w:eastAsia="fr-FR"/>
        </w:rPr>
        <w:t>d’</w:t>
      </w:r>
      <w:r w:rsidRPr="000A0215">
        <w:rPr>
          <w:rFonts w:eastAsia="Times New Roman" w:cs="Calibri"/>
          <w:color w:val="000000"/>
          <w:lang w:eastAsia="fr-FR"/>
        </w:rPr>
        <w:t>assurer la</w:t>
      </w:r>
      <w:r w:rsidRPr="000A0215">
        <w:rPr>
          <w:rFonts w:eastAsia="Times New Roman" w:cstheme="minorHAnsi"/>
          <w:color w:val="000000"/>
          <w:lang w:eastAsia="fr-FR"/>
        </w:rPr>
        <w:t xml:space="preserve"> </w:t>
      </w:r>
      <w:r w:rsidR="0040157A" w:rsidRPr="000A0215">
        <w:rPr>
          <w:rFonts w:eastAsia="Times New Roman" w:cstheme="minorHAnsi"/>
          <w:color w:val="000000"/>
          <w:lang w:eastAsia="fr-FR"/>
        </w:rPr>
        <w:t xml:space="preserve">suppléance </w:t>
      </w:r>
      <w:r w:rsidRPr="000A0215">
        <w:rPr>
          <w:rFonts w:eastAsia="Times New Roman" w:cstheme="minorHAnsi"/>
          <w:color w:val="000000"/>
          <w:lang w:eastAsia="fr-FR"/>
        </w:rPr>
        <w:t xml:space="preserve">du </w:t>
      </w:r>
      <w:proofErr w:type="spellStart"/>
      <w:r w:rsidR="0040157A" w:rsidRPr="000A0215">
        <w:rPr>
          <w:rFonts w:eastAsia="Times New Roman" w:cstheme="minorHAnsi"/>
          <w:color w:val="000000"/>
          <w:lang w:eastAsia="fr-FR"/>
        </w:rPr>
        <w:t>Cled</w:t>
      </w:r>
      <w:proofErr w:type="spellEnd"/>
      <w:r w:rsidRPr="000A0215">
        <w:rPr>
          <w:rFonts w:eastAsia="Times New Roman" w:cstheme="minorHAnsi"/>
          <w:color w:val="000000"/>
          <w:lang w:eastAsia="fr-FR"/>
        </w:rPr>
        <w:t xml:space="preserve"> aux côtés de </w:t>
      </w:r>
      <w:r w:rsidRPr="000A0215">
        <w:rPr>
          <w:rFonts w:eastAsia="Times New Roman" w:cs="Calibri"/>
          <w:color w:val="000000"/>
          <w:lang w:eastAsia="fr-FR"/>
        </w:rPr>
        <w:t xml:space="preserve">Hajer </w:t>
      </w:r>
      <w:proofErr w:type="spellStart"/>
      <w:r w:rsidRPr="000A0215">
        <w:rPr>
          <w:rFonts w:eastAsia="Times New Roman" w:cs="Calibri"/>
          <w:color w:val="000000"/>
          <w:lang w:eastAsia="fr-FR"/>
        </w:rPr>
        <w:t>Mestaysser</w:t>
      </w:r>
      <w:proofErr w:type="spellEnd"/>
      <w:r w:rsidRPr="000A0215">
        <w:rPr>
          <w:rFonts w:eastAsia="Times New Roman" w:cs="Calibri"/>
          <w:color w:val="000000"/>
          <w:lang w:eastAsia="fr-FR"/>
        </w:rPr>
        <w:t>.</w:t>
      </w:r>
    </w:p>
    <w:p w:rsidR="0040157A" w:rsidRPr="000A0215" w:rsidRDefault="00EA50E4" w:rsidP="00EA50E4">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Les doctorantes et doctorants reviendront vers l’ED pour proposer le nom de l’un</w:t>
      </w:r>
      <w:r w:rsidR="00EF0DB1" w:rsidRPr="000A0215">
        <w:rPr>
          <w:rFonts w:eastAsia="Times New Roman" w:cstheme="minorHAnsi"/>
          <w:color w:val="000000"/>
          <w:lang w:eastAsia="fr-FR"/>
        </w:rPr>
        <w:t>, l’un</w:t>
      </w:r>
      <w:r w:rsidRPr="000A0215">
        <w:rPr>
          <w:rFonts w:eastAsia="Times New Roman" w:cstheme="minorHAnsi"/>
          <w:color w:val="000000"/>
          <w:lang w:eastAsia="fr-FR"/>
        </w:rPr>
        <w:t xml:space="preserve">e ou l’autre </w:t>
      </w:r>
      <w:r w:rsidR="00EF0DB1" w:rsidRPr="000A0215">
        <w:rPr>
          <w:rFonts w:eastAsia="Times New Roman" w:cstheme="minorHAnsi"/>
          <w:color w:val="000000"/>
          <w:lang w:eastAsia="fr-FR"/>
        </w:rPr>
        <w:t xml:space="preserve">d’entre eux et elles </w:t>
      </w:r>
      <w:r w:rsidRPr="000A0215">
        <w:rPr>
          <w:rFonts w:eastAsia="Times New Roman" w:cstheme="minorHAnsi"/>
          <w:color w:val="000000"/>
          <w:lang w:eastAsia="fr-FR"/>
        </w:rPr>
        <w:t>pour rejoindre le</w:t>
      </w:r>
      <w:r w:rsidR="0040157A" w:rsidRPr="000A0215">
        <w:rPr>
          <w:rFonts w:eastAsia="Times New Roman" w:cstheme="minorHAnsi"/>
          <w:color w:val="000000"/>
          <w:lang w:eastAsia="fr-FR"/>
        </w:rPr>
        <w:t xml:space="preserve"> bureau</w:t>
      </w:r>
      <w:r w:rsidR="002D423E" w:rsidRPr="000A0215">
        <w:rPr>
          <w:rFonts w:eastAsia="Times New Roman" w:cstheme="minorHAnsi"/>
          <w:color w:val="000000"/>
          <w:lang w:eastAsia="fr-FR"/>
        </w:rPr>
        <w:t xml:space="preserve"> du conseil de l’ED</w:t>
      </w:r>
      <w:r w:rsidR="00EF0DB1" w:rsidRPr="000A0215">
        <w:rPr>
          <w:rFonts w:eastAsia="Times New Roman" w:cstheme="minorHAnsi"/>
          <w:color w:val="000000"/>
          <w:lang w:eastAsia="fr-FR"/>
        </w:rPr>
        <w:t>.</w:t>
      </w:r>
      <w:r w:rsidR="0040157A" w:rsidRPr="000A0215">
        <w:rPr>
          <w:rFonts w:eastAsia="Times New Roman" w:cstheme="minorHAnsi"/>
          <w:color w:val="000000"/>
          <w:lang w:eastAsia="fr-FR"/>
        </w:rPr>
        <w:t xml:space="preserve"> </w:t>
      </w:r>
    </w:p>
    <w:p w:rsidR="00954BB6" w:rsidRPr="000A0215" w:rsidRDefault="00954BB6" w:rsidP="00CE2FCE">
      <w:pPr>
        <w:shd w:val="clear" w:color="auto" w:fill="FDFCFA"/>
        <w:spacing w:after="0" w:line="240" w:lineRule="auto"/>
        <w:rPr>
          <w:rFonts w:eastAsia="Times New Roman" w:cstheme="minorHAnsi"/>
          <w:b/>
          <w:i/>
          <w:color w:val="000000"/>
          <w:lang w:eastAsia="fr-FR"/>
        </w:rPr>
      </w:pPr>
    </w:p>
    <w:p w:rsidR="00CE2FCE" w:rsidRPr="000A0215" w:rsidRDefault="00954BB6" w:rsidP="00CE2FCE">
      <w:pPr>
        <w:shd w:val="clear" w:color="auto" w:fill="FDFCFA"/>
        <w:spacing w:after="0" w:line="240" w:lineRule="auto"/>
        <w:rPr>
          <w:rFonts w:eastAsia="Times New Roman" w:cstheme="minorHAnsi"/>
          <w:b/>
          <w:i/>
          <w:color w:val="000000"/>
          <w:lang w:eastAsia="fr-FR"/>
        </w:rPr>
      </w:pPr>
      <w:r w:rsidRPr="000A0215">
        <w:rPr>
          <w:rFonts w:eastAsia="Times New Roman" w:cstheme="minorHAnsi"/>
          <w:b/>
          <w:i/>
          <w:color w:val="000000"/>
          <w:lang w:eastAsia="fr-FR"/>
        </w:rPr>
        <w:lastRenderedPageBreak/>
        <w:t>S</w:t>
      </w:r>
      <w:r w:rsidR="00CE2FCE" w:rsidRPr="000A0215">
        <w:rPr>
          <w:rFonts w:eastAsia="Times New Roman" w:cstheme="minorHAnsi"/>
          <w:b/>
          <w:i/>
          <w:color w:val="000000"/>
          <w:lang w:eastAsia="fr-FR"/>
        </w:rPr>
        <w:t>emaine de la recherche en </w:t>
      </w:r>
      <w:r w:rsidR="00CE2FCE" w:rsidRPr="000A0215">
        <w:rPr>
          <w:rFonts w:eastAsia="Times New Roman" w:cstheme="minorHAnsi"/>
          <w:b/>
          <w:i/>
          <w:lang w:eastAsia="fr-FR"/>
        </w:rPr>
        <w:t>septembre 2023 </w:t>
      </w:r>
      <w:r w:rsidR="00CE2FCE" w:rsidRPr="000A0215">
        <w:rPr>
          <w:rFonts w:eastAsia="Times New Roman" w:cstheme="minorHAnsi"/>
          <w:b/>
          <w:i/>
          <w:color w:val="000000"/>
          <w:lang w:eastAsia="fr-FR"/>
        </w:rPr>
        <w:t xml:space="preserve">: JE présentation de travaux des </w:t>
      </w:r>
      <w:proofErr w:type="spellStart"/>
      <w:r w:rsidR="00CE2FCE" w:rsidRPr="000A0215">
        <w:rPr>
          <w:rFonts w:eastAsia="Times New Roman" w:cstheme="minorHAnsi"/>
          <w:b/>
          <w:i/>
          <w:color w:val="000000"/>
          <w:lang w:eastAsia="fr-FR"/>
        </w:rPr>
        <w:t>doctorant.</w:t>
      </w:r>
      <w:proofErr w:type="gramStart"/>
      <w:r w:rsidR="00CE2FCE" w:rsidRPr="000A0215">
        <w:rPr>
          <w:rFonts w:eastAsia="Times New Roman" w:cstheme="minorHAnsi"/>
          <w:b/>
          <w:i/>
          <w:color w:val="000000"/>
          <w:lang w:eastAsia="fr-FR"/>
        </w:rPr>
        <w:t>e.s</w:t>
      </w:r>
      <w:proofErr w:type="spellEnd"/>
      <w:proofErr w:type="gramEnd"/>
      <w:r w:rsidR="00CE2FCE" w:rsidRPr="000A0215">
        <w:rPr>
          <w:rFonts w:eastAsia="Times New Roman" w:cstheme="minorHAnsi"/>
          <w:b/>
          <w:i/>
          <w:color w:val="000000"/>
          <w:lang w:eastAsia="fr-FR"/>
        </w:rPr>
        <w:t xml:space="preserve"> ?</w:t>
      </w:r>
    </w:p>
    <w:p w:rsidR="00954BB6" w:rsidRPr="000A0215" w:rsidRDefault="00990506" w:rsidP="00990506">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 xml:space="preserve">Pendant la semaine de la recherche, nous pourrions organiser une journée d’étude ouverte à toutes et tous, particulièrement aux étudiantes et étudiants de master intéressé.es par une inscription en thèse. Au cours de cette journée, des doctorantes et doctorants des 10 unités pourraient présenter leur recherche, de façon suffisamment « ouverte » pour que le contenu puisse être compris par des non-spécialistes. À cette occasion, </w:t>
      </w:r>
      <w:proofErr w:type="spellStart"/>
      <w:r w:rsidRPr="000A0215">
        <w:rPr>
          <w:rFonts w:eastAsia="Times New Roman" w:cstheme="minorHAnsi"/>
          <w:color w:val="000000"/>
          <w:lang w:eastAsia="fr-FR"/>
        </w:rPr>
        <w:t>Ga</w:t>
      </w:r>
      <w:r w:rsidR="00126E9D" w:rsidRPr="000A0215">
        <w:rPr>
          <w:rFonts w:eastAsia="Times New Roman" w:cstheme="minorHAnsi"/>
          <w:color w:val="000000"/>
          <w:lang w:eastAsia="fr-FR"/>
        </w:rPr>
        <w:t>m</w:t>
      </w:r>
      <w:r w:rsidRPr="000A0215">
        <w:rPr>
          <w:rFonts w:eastAsia="Times New Roman" w:cstheme="minorHAnsi"/>
          <w:color w:val="000000"/>
          <w:lang w:eastAsia="fr-FR"/>
        </w:rPr>
        <w:t>bin</w:t>
      </w:r>
      <w:proofErr w:type="spellEnd"/>
      <w:r w:rsidRPr="000A0215">
        <w:rPr>
          <w:rFonts w:eastAsia="Times New Roman" w:cstheme="minorHAnsi"/>
          <w:color w:val="000000"/>
          <w:lang w:eastAsia="fr-FR"/>
        </w:rPr>
        <w:t xml:space="preserve"> Gatien (Lis) pourrait présenter la prestation qu’il a faite à </w:t>
      </w:r>
      <w:r w:rsidRPr="000A0215">
        <w:rPr>
          <w:rFonts w:eastAsia="Times New Roman" w:cstheme="minorHAnsi"/>
          <w:i/>
          <w:color w:val="000000"/>
          <w:lang w:eastAsia="fr-FR"/>
        </w:rPr>
        <w:t>Ma Thèse en 180’</w:t>
      </w:r>
      <w:r w:rsidRPr="000A0215">
        <w:rPr>
          <w:rFonts w:eastAsia="Times New Roman" w:cstheme="minorHAnsi"/>
          <w:color w:val="000000"/>
          <w:lang w:eastAsia="fr-FR"/>
        </w:rPr>
        <w:t xml:space="preserve"> qui était tout à fait réussie. Si les unités sont d’accord avec cette proposition, il faudrait que, très vite, elles contactent un ou une </w:t>
      </w:r>
      <w:proofErr w:type="spellStart"/>
      <w:proofErr w:type="gramStart"/>
      <w:r w:rsidRPr="000A0215">
        <w:rPr>
          <w:rFonts w:eastAsia="Times New Roman" w:cstheme="minorHAnsi"/>
          <w:color w:val="000000"/>
          <w:lang w:eastAsia="fr-FR"/>
        </w:rPr>
        <w:t>doctorant.e</w:t>
      </w:r>
      <w:proofErr w:type="spellEnd"/>
      <w:proofErr w:type="gramEnd"/>
      <w:r w:rsidRPr="000A0215">
        <w:rPr>
          <w:rFonts w:eastAsia="Times New Roman" w:cstheme="minorHAnsi"/>
          <w:color w:val="000000"/>
          <w:lang w:eastAsia="fr-FR"/>
        </w:rPr>
        <w:t xml:space="preserve"> pour que nous planifions </w:t>
      </w:r>
      <w:r w:rsidR="006C4C71" w:rsidRPr="000A0215">
        <w:rPr>
          <w:rFonts w:eastAsia="Times New Roman" w:cstheme="minorHAnsi"/>
          <w:color w:val="000000"/>
          <w:lang w:eastAsia="fr-FR"/>
        </w:rPr>
        <w:t>la ou les journées sur un site et/ou sur l’</w:t>
      </w:r>
      <w:bookmarkStart w:id="0" w:name="_GoBack"/>
      <w:bookmarkEnd w:id="0"/>
      <w:r w:rsidR="006C4C71" w:rsidRPr="000A0215">
        <w:rPr>
          <w:rFonts w:eastAsia="Times New Roman" w:cstheme="minorHAnsi"/>
          <w:color w:val="000000"/>
          <w:lang w:eastAsia="fr-FR"/>
        </w:rPr>
        <w:t>autre.</w:t>
      </w:r>
      <w:r w:rsidR="00EF0DB1" w:rsidRPr="000A0215">
        <w:rPr>
          <w:rFonts w:eastAsia="Times New Roman" w:cstheme="minorHAnsi"/>
          <w:color w:val="000000"/>
          <w:lang w:eastAsia="fr-FR"/>
        </w:rPr>
        <w:t xml:space="preserve"> L’ED reviendra vers les équipes pour préciser des dates et lieux</w:t>
      </w:r>
      <w:r w:rsidR="00655723" w:rsidRPr="000A0215">
        <w:rPr>
          <w:rFonts w:eastAsia="Times New Roman" w:cstheme="minorHAnsi"/>
          <w:color w:val="000000"/>
          <w:lang w:eastAsia="fr-FR"/>
        </w:rPr>
        <w:t xml:space="preserve"> appropriés</w:t>
      </w:r>
      <w:r w:rsidR="00EF0DB1" w:rsidRPr="000A0215">
        <w:rPr>
          <w:rFonts w:eastAsia="Times New Roman" w:cstheme="minorHAnsi"/>
          <w:color w:val="000000"/>
          <w:lang w:eastAsia="fr-FR"/>
        </w:rPr>
        <w:t>.</w:t>
      </w:r>
    </w:p>
    <w:p w:rsidR="00990506" w:rsidRPr="000A0215" w:rsidRDefault="00990506" w:rsidP="00CE2FCE">
      <w:pPr>
        <w:shd w:val="clear" w:color="auto" w:fill="FDFCFA"/>
        <w:spacing w:after="0" w:line="240" w:lineRule="auto"/>
        <w:rPr>
          <w:rFonts w:eastAsia="Times New Roman" w:cstheme="minorHAnsi"/>
          <w:color w:val="000000"/>
          <w:lang w:eastAsia="fr-FR"/>
        </w:rPr>
      </w:pPr>
    </w:p>
    <w:p w:rsidR="00CE2FCE" w:rsidRPr="000A0215" w:rsidRDefault="00954BB6" w:rsidP="00CE2FCE">
      <w:pPr>
        <w:shd w:val="clear" w:color="auto" w:fill="FDFCFA"/>
        <w:spacing w:after="0" w:line="240" w:lineRule="auto"/>
        <w:rPr>
          <w:rFonts w:eastAsia="Times New Roman" w:cstheme="minorHAnsi"/>
          <w:b/>
          <w:i/>
          <w:color w:val="000000"/>
          <w:lang w:eastAsia="fr-FR"/>
        </w:rPr>
      </w:pPr>
      <w:r w:rsidRPr="000A0215">
        <w:rPr>
          <w:rFonts w:eastAsia="Times New Roman" w:cstheme="minorHAnsi"/>
          <w:b/>
          <w:i/>
          <w:color w:val="000000"/>
          <w:lang w:eastAsia="fr-FR"/>
        </w:rPr>
        <w:t>R</w:t>
      </w:r>
      <w:r w:rsidR="00CE2FCE" w:rsidRPr="000A0215">
        <w:rPr>
          <w:rFonts w:eastAsia="Times New Roman" w:cstheme="minorHAnsi"/>
          <w:b/>
          <w:i/>
          <w:color w:val="000000"/>
          <w:lang w:eastAsia="fr-FR"/>
        </w:rPr>
        <w:t>etour des entretiens des 1A</w:t>
      </w:r>
    </w:p>
    <w:p w:rsidR="00354563" w:rsidRPr="000A0215" w:rsidRDefault="006C4C71" w:rsidP="00B41EF5">
      <w:pPr>
        <w:shd w:val="clear" w:color="auto" w:fill="FDFCFA"/>
        <w:spacing w:after="0" w:line="240" w:lineRule="auto"/>
        <w:jc w:val="both"/>
        <w:rPr>
          <w:rFonts w:eastAsia="Times New Roman" w:cstheme="minorHAnsi"/>
          <w:color w:val="000000"/>
          <w:lang w:eastAsia="fr-FR"/>
        </w:rPr>
      </w:pPr>
      <w:r w:rsidRPr="000A0215">
        <w:rPr>
          <w:rFonts w:eastAsia="Times New Roman" w:cstheme="minorHAnsi"/>
          <w:color w:val="000000"/>
          <w:lang w:eastAsia="fr-FR"/>
        </w:rPr>
        <w:t>Comme chaque année, les membres du bureau et les doctorant.es élu.es du conseil conduisent des entretiens avec les doctorantes et doctorants de 1</w:t>
      </w:r>
      <w:r w:rsidRPr="000A0215">
        <w:rPr>
          <w:rFonts w:eastAsia="Times New Roman" w:cstheme="minorHAnsi"/>
          <w:color w:val="000000"/>
          <w:vertAlign w:val="superscript"/>
          <w:lang w:eastAsia="fr-FR"/>
        </w:rPr>
        <w:t>e</w:t>
      </w:r>
      <w:r w:rsidRPr="000A0215">
        <w:rPr>
          <w:rFonts w:eastAsia="Times New Roman" w:cstheme="minorHAnsi"/>
          <w:color w:val="000000"/>
          <w:lang w:eastAsia="fr-FR"/>
        </w:rPr>
        <w:t xml:space="preserve"> année. </w:t>
      </w:r>
      <w:r w:rsidR="00354563" w:rsidRPr="000A0215">
        <w:rPr>
          <w:rFonts w:eastAsia="Times New Roman" w:cstheme="minorHAnsi"/>
          <w:color w:val="000000"/>
          <w:lang w:eastAsia="fr-FR"/>
        </w:rPr>
        <w:t>C</w:t>
      </w:r>
      <w:r w:rsidRPr="000A0215">
        <w:rPr>
          <w:rFonts w:eastAsia="Times New Roman" w:cstheme="minorHAnsi"/>
          <w:color w:val="000000"/>
          <w:lang w:eastAsia="fr-FR"/>
        </w:rPr>
        <w:t xml:space="preserve">et exercice est précieux, les doctorantes et doctorants faisant remonter des interrogations sur les CSI, par exemple, les formations, </w:t>
      </w:r>
      <w:r w:rsidR="00354563" w:rsidRPr="000A0215">
        <w:rPr>
          <w:rFonts w:eastAsia="Times New Roman" w:cstheme="minorHAnsi"/>
          <w:color w:val="000000"/>
          <w:lang w:eastAsia="fr-FR"/>
        </w:rPr>
        <w:t xml:space="preserve">dans une moindre mesure </w:t>
      </w:r>
      <w:r w:rsidRPr="000A0215">
        <w:rPr>
          <w:rFonts w:eastAsia="Times New Roman" w:cstheme="minorHAnsi"/>
          <w:color w:val="000000"/>
          <w:lang w:eastAsia="fr-FR"/>
        </w:rPr>
        <w:t>les relations avec les directeurs et directrices.</w:t>
      </w:r>
      <w:r w:rsidR="00655723" w:rsidRPr="000A0215">
        <w:rPr>
          <w:rFonts w:eastAsia="Times New Roman" w:cstheme="minorHAnsi"/>
          <w:color w:val="000000"/>
          <w:lang w:eastAsia="fr-FR"/>
        </w:rPr>
        <w:t xml:space="preserve"> Plus précisément, quelques points ont été abordés : </w:t>
      </w:r>
      <w:r w:rsidRPr="000A0215">
        <w:rPr>
          <w:rFonts w:eastAsia="Times New Roman" w:cstheme="minorHAnsi"/>
          <w:color w:val="000000"/>
          <w:lang w:eastAsia="fr-FR"/>
        </w:rPr>
        <w:t xml:space="preserve"> </w:t>
      </w:r>
      <w:r w:rsidR="00655723" w:rsidRPr="000A0215">
        <w:rPr>
          <w:rFonts w:eastAsia="Times New Roman" w:cstheme="minorHAnsi"/>
          <w:color w:val="000000"/>
          <w:lang w:eastAsia="fr-FR"/>
        </w:rPr>
        <w:t xml:space="preserve">l’obtention des visas, l’accès à la salle Esthètes à Nancy, la définition des périodes de congés pour les doctorantes et doctorants </w:t>
      </w:r>
      <w:proofErr w:type="spellStart"/>
      <w:r w:rsidR="00655723" w:rsidRPr="000A0215">
        <w:rPr>
          <w:rFonts w:eastAsia="Times New Roman" w:cstheme="minorHAnsi"/>
          <w:color w:val="000000"/>
          <w:lang w:eastAsia="fr-FR"/>
        </w:rPr>
        <w:t>contractuel.les</w:t>
      </w:r>
      <w:proofErr w:type="spellEnd"/>
      <w:r w:rsidR="00655723" w:rsidRPr="000A0215">
        <w:rPr>
          <w:rFonts w:eastAsia="Times New Roman" w:cstheme="minorHAnsi"/>
          <w:color w:val="000000"/>
          <w:lang w:eastAsia="fr-FR"/>
        </w:rPr>
        <w:t xml:space="preserve">, les formations en ligne. Pour chacune des questions posées, des réponses ont été données </w:t>
      </w:r>
      <w:proofErr w:type="gramStart"/>
      <w:r w:rsidR="00655723" w:rsidRPr="000A0215">
        <w:rPr>
          <w:rFonts w:eastAsia="Times New Roman" w:cstheme="minorHAnsi"/>
          <w:color w:val="000000"/>
          <w:lang w:eastAsia="fr-FR"/>
        </w:rPr>
        <w:t>ou</w:t>
      </w:r>
      <w:proofErr w:type="gramEnd"/>
      <w:r w:rsidR="00655723" w:rsidRPr="000A0215">
        <w:rPr>
          <w:rFonts w:eastAsia="Times New Roman" w:cstheme="minorHAnsi"/>
          <w:color w:val="000000"/>
          <w:lang w:eastAsia="fr-FR"/>
        </w:rPr>
        <w:t xml:space="preserve"> le seront. </w:t>
      </w:r>
      <w:r w:rsidR="00EF0DB1" w:rsidRPr="000A0215">
        <w:rPr>
          <w:rFonts w:eastAsia="Times New Roman" w:cstheme="minorHAnsi"/>
          <w:color w:val="000000"/>
          <w:lang w:eastAsia="fr-FR"/>
        </w:rPr>
        <w:t xml:space="preserve">Hormis </w:t>
      </w:r>
      <w:r w:rsidR="00655723" w:rsidRPr="000A0215">
        <w:rPr>
          <w:rFonts w:eastAsia="Times New Roman" w:cstheme="minorHAnsi"/>
          <w:color w:val="000000"/>
          <w:lang w:eastAsia="fr-FR"/>
        </w:rPr>
        <w:t>ces demandes</w:t>
      </w:r>
      <w:r w:rsidR="00EF0DB1" w:rsidRPr="000A0215">
        <w:rPr>
          <w:rFonts w:eastAsia="Times New Roman" w:cstheme="minorHAnsi"/>
          <w:color w:val="000000"/>
          <w:lang w:eastAsia="fr-FR"/>
        </w:rPr>
        <w:t>, les entretiens ont fait remonter une intégration satisfaisante des doctorantes et doctorants nouvellement isncrit.es.</w:t>
      </w:r>
    </w:p>
    <w:p w:rsidR="006C4C71" w:rsidRPr="000A0215" w:rsidRDefault="006C4C71" w:rsidP="00CE2FCE">
      <w:pPr>
        <w:shd w:val="clear" w:color="auto" w:fill="FDFCFA"/>
        <w:spacing w:after="0" w:line="240" w:lineRule="auto"/>
        <w:rPr>
          <w:rFonts w:eastAsia="Times New Roman" w:cstheme="minorHAnsi"/>
          <w:color w:val="000000"/>
          <w:lang w:eastAsia="fr-FR"/>
        </w:rPr>
      </w:pPr>
    </w:p>
    <w:p w:rsidR="00CE2FCE" w:rsidRPr="000A0215" w:rsidRDefault="00CB25EA" w:rsidP="00CE2FCE">
      <w:pPr>
        <w:shd w:val="clear" w:color="auto" w:fill="FDFCFA"/>
        <w:spacing w:after="0" w:line="240" w:lineRule="auto"/>
        <w:rPr>
          <w:rFonts w:eastAsia="Times New Roman" w:cstheme="minorHAnsi"/>
          <w:b/>
          <w:i/>
          <w:color w:val="000000"/>
          <w:lang w:eastAsia="fr-FR"/>
        </w:rPr>
      </w:pPr>
      <w:r w:rsidRPr="000A0215">
        <w:rPr>
          <w:rFonts w:eastAsia="Times New Roman" w:cstheme="minorHAnsi"/>
          <w:b/>
          <w:i/>
          <w:color w:val="000000"/>
          <w:lang w:eastAsia="fr-FR"/>
        </w:rPr>
        <w:t>Q</w:t>
      </w:r>
      <w:r w:rsidR="00CE2FCE" w:rsidRPr="000A0215">
        <w:rPr>
          <w:rFonts w:eastAsia="Times New Roman" w:cstheme="minorHAnsi"/>
          <w:b/>
          <w:i/>
          <w:color w:val="000000"/>
          <w:lang w:eastAsia="fr-FR"/>
        </w:rPr>
        <w:t>uestions diverses</w:t>
      </w:r>
    </w:p>
    <w:p w:rsidR="00EB4056" w:rsidRPr="000A0215" w:rsidRDefault="00655723" w:rsidP="00655723">
      <w:pPr>
        <w:jc w:val="both"/>
      </w:pPr>
      <w:r w:rsidRPr="000A0215">
        <w:t>Un conseil organisé en présentiel sera ajouté à ceux déjà en place. Il se déroulera en janvier ou février, sur un site ou un autre de l’ED.</w:t>
      </w:r>
    </w:p>
    <w:p w:rsidR="00655723" w:rsidRPr="000A0215" w:rsidRDefault="00655723" w:rsidP="00655723">
      <w:pPr>
        <w:jc w:val="both"/>
      </w:pPr>
      <w:r w:rsidRPr="000A0215">
        <w:t>Un collègue demande si un candidat au contrat doctoral peut se présenter dans deux ED SHS à l’UL. Il a été répondu que, d’un point de vue éthique, le procédé pouvait être problématique. En revanche, un candidat peut se présenter dans deux ED de deux universités.</w:t>
      </w:r>
    </w:p>
    <w:p w:rsidR="00655723" w:rsidRPr="000A0215" w:rsidRDefault="00655723" w:rsidP="00655723">
      <w:pPr>
        <w:jc w:val="both"/>
      </w:pPr>
      <w:r w:rsidRPr="000A0215">
        <w:t>Lors de l’examen des contrats doctoraux, un directeur d’UR demande à ce que le classement des UR soit</w:t>
      </w:r>
      <w:r w:rsidR="005A4875" w:rsidRPr="000A0215">
        <w:t xml:space="preserve"> </w:t>
      </w:r>
      <w:r w:rsidR="005A4875" w:rsidRPr="000A0215">
        <w:rPr>
          <w:i/>
        </w:rPr>
        <w:t>in fine</w:t>
      </w:r>
      <w:r w:rsidR="005A4875" w:rsidRPr="000A0215">
        <w:t xml:space="preserve"> </w:t>
      </w:r>
      <w:r w:rsidRPr="000A0215">
        <w:t xml:space="preserve">respecté </w:t>
      </w:r>
      <w:r w:rsidR="005A4875" w:rsidRPr="000A0215">
        <w:t>apr</w:t>
      </w:r>
      <w:r w:rsidR="002D423E" w:rsidRPr="000A0215">
        <w:t>ès l’audition des candidat.es. C</w:t>
      </w:r>
      <w:r w:rsidR="005A4875" w:rsidRPr="000A0215">
        <w:t xml:space="preserve">e point sera discuté dans un conseil ultérieur et fera l’objet d’un vote. </w:t>
      </w:r>
    </w:p>
    <w:p w:rsidR="005A4875" w:rsidRDefault="005A4875" w:rsidP="00655723">
      <w:pPr>
        <w:jc w:val="both"/>
      </w:pPr>
      <w:r w:rsidRPr="000A0215">
        <w:t>Lors du prochain concours pour les contrats doctoraux, un rappel des règles sera signifié avant de commencer les auditions. Des listes d’items ayant pour objectif de faciliter le choix des collègues seront fournies.</w:t>
      </w:r>
    </w:p>
    <w:p w:rsidR="00655723" w:rsidRDefault="00655723" w:rsidP="00655723">
      <w:pPr>
        <w:jc w:val="both"/>
      </w:pPr>
    </w:p>
    <w:sectPr w:rsidR="00655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8418D"/>
    <w:multiLevelType w:val="hybridMultilevel"/>
    <w:tmpl w:val="207ED91C"/>
    <w:lvl w:ilvl="0" w:tplc="2AE84C14">
      <w:start w:val="16"/>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1CA432F"/>
    <w:multiLevelType w:val="hybridMultilevel"/>
    <w:tmpl w:val="6C1A7AD0"/>
    <w:lvl w:ilvl="0" w:tplc="14B01672">
      <w:start w:val="1"/>
      <w:numFmt w:val="bullet"/>
      <w:lvlText w:val="•"/>
      <w:lvlJc w:val="left"/>
      <w:pPr>
        <w:tabs>
          <w:tab w:val="num" w:pos="720"/>
        </w:tabs>
        <w:ind w:left="720" w:hanging="360"/>
      </w:pPr>
      <w:rPr>
        <w:rFonts w:ascii="Arial" w:hAnsi="Arial" w:hint="default"/>
      </w:rPr>
    </w:lvl>
    <w:lvl w:ilvl="1" w:tplc="5C2A3DB8" w:tentative="1">
      <w:start w:val="1"/>
      <w:numFmt w:val="bullet"/>
      <w:lvlText w:val="•"/>
      <w:lvlJc w:val="left"/>
      <w:pPr>
        <w:tabs>
          <w:tab w:val="num" w:pos="1440"/>
        </w:tabs>
        <w:ind w:left="1440" w:hanging="360"/>
      </w:pPr>
      <w:rPr>
        <w:rFonts w:ascii="Arial" w:hAnsi="Arial" w:hint="default"/>
      </w:rPr>
    </w:lvl>
    <w:lvl w:ilvl="2" w:tplc="29E480BA" w:tentative="1">
      <w:start w:val="1"/>
      <w:numFmt w:val="bullet"/>
      <w:lvlText w:val="•"/>
      <w:lvlJc w:val="left"/>
      <w:pPr>
        <w:tabs>
          <w:tab w:val="num" w:pos="2160"/>
        </w:tabs>
        <w:ind w:left="2160" w:hanging="360"/>
      </w:pPr>
      <w:rPr>
        <w:rFonts w:ascii="Arial" w:hAnsi="Arial" w:hint="default"/>
      </w:rPr>
    </w:lvl>
    <w:lvl w:ilvl="3" w:tplc="E730D40E" w:tentative="1">
      <w:start w:val="1"/>
      <w:numFmt w:val="bullet"/>
      <w:lvlText w:val="•"/>
      <w:lvlJc w:val="left"/>
      <w:pPr>
        <w:tabs>
          <w:tab w:val="num" w:pos="2880"/>
        </w:tabs>
        <w:ind w:left="2880" w:hanging="360"/>
      </w:pPr>
      <w:rPr>
        <w:rFonts w:ascii="Arial" w:hAnsi="Arial" w:hint="default"/>
      </w:rPr>
    </w:lvl>
    <w:lvl w:ilvl="4" w:tplc="A2E80F6A" w:tentative="1">
      <w:start w:val="1"/>
      <w:numFmt w:val="bullet"/>
      <w:lvlText w:val="•"/>
      <w:lvlJc w:val="left"/>
      <w:pPr>
        <w:tabs>
          <w:tab w:val="num" w:pos="3600"/>
        </w:tabs>
        <w:ind w:left="3600" w:hanging="360"/>
      </w:pPr>
      <w:rPr>
        <w:rFonts w:ascii="Arial" w:hAnsi="Arial" w:hint="default"/>
      </w:rPr>
    </w:lvl>
    <w:lvl w:ilvl="5" w:tplc="9D264EB4" w:tentative="1">
      <w:start w:val="1"/>
      <w:numFmt w:val="bullet"/>
      <w:lvlText w:val="•"/>
      <w:lvlJc w:val="left"/>
      <w:pPr>
        <w:tabs>
          <w:tab w:val="num" w:pos="4320"/>
        </w:tabs>
        <w:ind w:left="4320" w:hanging="360"/>
      </w:pPr>
      <w:rPr>
        <w:rFonts w:ascii="Arial" w:hAnsi="Arial" w:hint="default"/>
      </w:rPr>
    </w:lvl>
    <w:lvl w:ilvl="6" w:tplc="A3AA344A" w:tentative="1">
      <w:start w:val="1"/>
      <w:numFmt w:val="bullet"/>
      <w:lvlText w:val="•"/>
      <w:lvlJc w:val="left"/>
      <w:pPr>
        <w:tabs>
          <w:tab w:val="num" w:pos="5040"/>
        </w:tabs>
        <w:ind w:left="5040" w:hanging="360"/>
      </w:pPr>
      <w:rPr>
        <w:rFonts w:ascii="Arial" w:hAnsi="Arial" w:hint="default"/>
      </w:rPr>
    </w:lvl>
    <w:lvl w:ilvl="7" w:tplc="5D4201F0" w:tentative="1">
      <w:start w:val="1"/>
      <w:numFmt w:val="bullet"/>
      <w:lvlText w:val="•"/>
      <w:lvlJc w:val="left"/>
      <w:pPr>
        <w:tabs>
          <w:tab w:val="num" w:pos="5760"/>
        </w:tabs>
        <w:ind w:left="5760" w:hanging="360"/>
      </w:pPr>
      <w:rPr>
        <w:rFonts w:ascii="Arial" w:hAnsi="Arial" w:hint="default"/>
      </w:rPr>
    </w:lvl>
    <w:lvl w:ilvl="8" w:tplc="D368C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015F58"/>
    <w:multiLevelType w:val="hybridMultilevel"/>
    <w:tmpl w:val="B78866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38298B"/>
    <w:multiLevelType w:val="hybridMultilevel"/>
    <w:tmpl w:val="7A64CB5E"/>
    <w:lvl w:ilvl="0" w:tplc="C0C61748">
      <w:numFmt w:val="bullet"/>
      <w:lvlText w:val="-"/>
      <w:lvlJc w:val="left"/>
      <w:pPr>
        <w:ind w:left="360" w:hanging="360"/>
      </w:pPr>
      <w:rPr>
        <w:rFonts w:ascii="Century Gothic" w:eastAsia="Times New Roman" w:hAnsi="Century Gothic"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83D07D5"/>
    <w:multiLevelType w:val="hybridMultilevel"/>
    <w:tmpl w:val="21C25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CE"/>
    <w:rsid w:val="00072E86"/>
    <w:rsid w:val="000A0215"/>
    <w:rsid w:val="000C15A7"/>
    <w:rsid w:val="00117F2F"/>
    <w:rsid w:val="00126E9D"/>
    <w:rsid w:val="002635BA"/>
    <w:rsid w:val="00284393"/>
    <w:rsid w:val="002B079A"/>
    <w:rsid w:val="002D423E"/>
    <w:rsid w:val="00354563"/>
    <w:rsid w:val="00366444"/>
    <w:rsid w:val="00376BB4"/>
    <w:rsid w:val="0040157A"/>
    <w:rsid w:val="00522897"/>
    <w:rsid w:val="005939E6"/>
    <w:rsid w:val="005A0A9F"/>
    <w:rsid w:val="005A4875"/>
    <w:rsid w:val="005A7348"/>
    <w:rsid w:val="005C256C"/>
    <w:rsid w:val="005F4819"/>
    <w:rsid w:val="00655723"/>
    <w:rsid w:val="006A15B2"/>
    <w:rsid w:val="006C4C71"/>
    <w:rsid w:val="006E446A"/>
    <w:rsid w:val="006E4F2C"/>
    <w:rsid w:val="0078624C"/>
    <w:rsid w:val="007A03D1"/>
    <w:rsid w:val="0083162B"/>
    <w:rsid w:val="008544A4"/>
    <w:rsid w:val="00872546"/>
    <w:rsid w:val="00911422"/>
    <w:rsid w:val="00954BB6"/>
    <w:rsid w:val="00990506"/>
    <w:rsid w:val="00AC6735"/>
    <w:rsid w:val="00B27FFA"/>
    <w:rsid w:val="00B41EF5"/>
    <w:rsid w:val="00B742D2"/>
    <w:rsid w:val="00BA0927"/>
    <w:rsid w:val="00BD62DD"/>
    <w:rsid w:val="00BE24CA"/>
    <w:rsid w:val="00BE4247"/>
    <w:rsid w:val="00C63D3A"/>
    <w:rsid w:val="00CA533E"/>
    <w:rsid w:val="00CB25EA"/>
    <w:rsid w:val="00CE2FCE"/>
    <w:rsid w:val="00CE4259"/>
    <w:rsid w:val="00D77857"/>
    <w:rsid w:val="00DA3305"/>
    <w:rsid w:val="00DF60E1"/>
    <w:rsid w:val="00E658CB"/>
    <w:rsid w:val="00E95B6C"/>
    <w:rsid w:val="00EA50E4"/>
    <w:rsid w:val="00EB27A0"/>
    <w:rsid w:val="00EB4056"/>
    <w:rsid w:val="00EF0DB1"/>
    <w:rsid w:val="00F53E7C"/>
    <w:rsid w:val="00FA2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B27BB-8493-4F29-954B-40FE95A2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FFA"/>
  </w:style>
  <w:style w:type="paragraph" w:styleId="Titre1">
    <w:name w:val="heading 1"/>
    <w:basedOn w:val="Normal"/>
    <w:link w:val="Titre1Car"/>
    <w:uiPriority w:val="9"/>
    <w:qFormat/>
    <w:rsid w:val="008725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725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CE2FCE"/>
  </w:style>
  <w:style w:type="paragraph" w:styleId="Paragraphedeliste">
    <w:name w:val="List Paragraph"/>
    <w:basedOn w:val="Normal"/>
    <w:uiPriority w:val="34"/>
    <w:qFormat/>
    <w:rsid w:val="00284393"/>
    <w:pPr>
      <w:ind w:left="720"/>
      <w:contextualSpacing/>
    </w:pPr>
  </w:style>
  <w:style w:type="table" w:styleId="Grilledutableau">
    <w:name w:val="Table Grid"/>
    <w:basedOn w:val="TableauNormal"/>
    <w:uiPriority w:val="39"/>
    <w:rsid w:val="0036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725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725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72546"/>
    <w:rPr>
      <w:b/>
      <w:bCs/>
    </w:rPr>
  </w:style>
  <w:style w:type="character" w:styleId="Accentuation">
    <w:name w:val="Emphasis"/>
    <w:basedOn w:val="Policepardfaut"/>
    <w:uiPriority w:val="20"/>
    <w:qFormat/>
    <w:rsid w:val="00872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1562">
      <w:bodyDiv w:val="1"/>
      <w:marLeft w:val="0"/>
      <w:marRight w:val="0"/>
      <w:marTop w:val="0"/>
      <w:marBottom w:val="0"/>
      <w:divBdr>
        <w:top w:val="none" w:sz="0" w:space="0" w:color="auto"/>
        <w:left w:val="none" w:sz="0" w:space="0" w:color="auto"/>
        <w:bottom w:val="none" w:sz="0" w:space="0" w:color="auto"/>
        <w:right w:val="none" w:sz="0" w:space="0" w:color="auto"/>
      </w:divBdr>
      <w:divsChild>
        <w:div w:id="1671719055">
          <w:marLeft w:val="0"/>
          <w:marRight w:val="0"/>
          <w:marTop w:val="0"/>
          <w:marBottom w:val="0"/>
          <w:divBdr>
            <w:top w:val="none" w:sz="0" w:space="0" w:color="auto"/>
            <w:left w:val="none" w:sz="0" w:space="0" w:color="auto"/>
            <w:bottom w:val="none" w:sz="0" w:space="0" w:color="auto"/>
            <w:right w:val="none" w:sz="0" w:space="0" w:color="auto"/>
          </w:divBdr>
        </w:div>
        <w:div w:id="1983265396">
          <w:marLeft w:val="0"/>
          <w:marRight w:val="0"/>
          <w:marTop w:val="0"/>
          <w:marBottom w:val="0"/>
          <w:divBdr>
            <w:top w:val="none" w:sz="0" w:space="0" w:color="auto"/>
            <w:left w:val="none" w:sz="0" w:space="0" w:color="auto"/>
            <w:bottom w:val="none" w:sz="0" w:space="0" w:color="auto"/>
            <w:right w:val="none" w:sz="0" w:space="0" w:color="auto"/>
          </w:divBdr>
          <w:divsChild>
            <w:div w:id="1243492285">
              <w:marLeft w:val="0"/>
              <w:marRight w:val="0"/>
              <w:marTop w:val="0"/>
              <w:marBottom w:val="0"/>
              <w:divBdr>
                <w:top w:val="none" w:sz="0" w:space="0" w:color="auto"/>
                <w:left w:val="none" w:sz="0" w:space="0" w:color="auto"/>
                <w:bottom w:val="none" w:sz="0" w:space="0" w:color="auto"/>
                <w:right w:val="none" w:sz="0" w:space="0" w:color="auto"/>
              </w:divBdr>
              <w:divsChild>
                <w:div w:id="455684118">
                  <w:marLeft w:val="0"/>
                  <w:marRight w:val="0"/>
                  <w:marTop w:val="0"/>
                  <w:marBottom w:val="0"/>
                  <w:divBdr>
                    <w:top w:val="none" w:sz="0" w:space="0" w:color="auto"/>
                    <w:left w:val="none" w:sz="0" w:space="0" w:color="auto"/>
                    <w:bottom w:val="none" w:sz="0" w:space="0" w:color="auto"/>
                    <w:right w:val="none" w:sz="0" w:space="0" w:color="auto"/>
                  </w:divBdr>
                  <w:divsChild>
                    <w:div w:id="1111823412">
                      <w:marLeft w:val="0"/>
                      <w:marRight w:val="0"/>
                      <w:marTop w:val="0"/>
                      <w:marBottom w:val="0"/>
                      <w:divBdr>
                        <w:top w:val="none" w:sz="0" w:space="0" w:color="auto"/>
                        <w:left w:val="none" w:sz="0" w:space="0" w:color="auto"/>
                        <w:bottom w:val="none" w:sz="0" w:space="0" w:color="auto"/>
                        <w:right w:val="none" w:sz="0" w:space="0" w:color="auto"/>
                      </w:divBdr>
                      <w:divsChild>
                        <w:div w:id="1903785517">
                          <w:marLeft w:val="0"/>
                          <w:marRight w:val="0"/>
                          <w:marTop w:val="0"/>
                          <w:marBottom w:val="0"/>
                          <w:divBdr>
                            <w:top w:val="none" w:sz="0" w:space="0" w:color="auto"/>
                            <w:left w:val="none" w:sz="0" w:space="0" w:color="auto"/>
                            <w:bottom w:val="none" w:sz="0" w:space="0" w:color="auto"/>
                            <w:right w:val="none" w:sz="0" w:space="0" w:color="auto"/>
                          </w:divBdr>
                          <w:divsChild>
                            <w:div w:id="806048693">
                              <w:marLeft w:val="0"/>
                              <w:marRight w:val="0"/>
                              <w:marTop w:val="0"/>
                              <w:marBottom w:val="0"/>
                              <w:divBdr>
                                <w:top w:val="none" w:sz="0" w:space="0" w:color="auto"/>
                                <w:left w:val="none" w:sz="0" w:space="0" w:color="auto"/>
                                <w:bottom w:val="none" w:sz="0" w:space="0" w:color="auto"/>
                                <w:right w:val="none" w:sz="0" w:space="0" w:color="auto"/>
                              </w:divBdr>
                              <w:divsChild>
                                <w:div w:id="530847396">
                                  <w:marLeft w:val="0"/>
                                  <w:marRight w:val="0"/>
                                  <w:marTop w:val="0"/>
                                  <w:marBottom w:val="0"/>
                                  <w:divBdr>
                                    <w:top w:val="none" w:sz="0" w:space="0" w:color="auto"/>
                                    <w:left w:val="none" w:sz="0" w:space="0" w:color="auto"/>
                                    <w:bottom w:val="none" w:sz="0" w:space="0" w:color="auto"/>
                                    <w:right w:val="none" w:sz="0" w:space="0" w:color="auto"/>
                                  </w:divBdr>
                                  <w:divsChild>
                                    <w:div w:id="442724074">
                                      <w:marLeft w:val="0"/>
                                      <w:marRight w:val="0"/>
                                      <w:marTop w:val="0"/>
                                      <w:marBottom w:val="0"/>
                                      <w:divBdr>
                                        <w:top w:val="none" w:sz="0" w:space="0" w:color="auto"/>
                                        <w:left w:val="none" w:sz="0" w:space="0" w:color="auto"/>
                                        <w:bottom w:val="none" w:sz="0" w:space="0" w:color="auto"/>
                                        <w:right w:val="none" w:sz="0" w:space="0" w:color="auto"/>
                                      </w:divBdr>
                                      <w:divsChild>
                                        <w:div w:id="1101026207">
                                          <w:marLeft w:val="0"/>
                                          <w:marRight w:val="0"/>
                                          <w:marTop w:val="0"/>
                                          <w:marBottom w:val="0"/>
                                          <w:divBdr>
                                            <w:top w:val="none" w:sz="0" w:space="0" w:color="auto"/>
                                            <w:left w:val="none" w:sz="0" w:space="0" w:color="auto"/>
                                            <w:bottom w:val="none" w:sz="0" w:space="0" w:color="auto"/>
                                            <w:right w:val="none" w:sz="0" w:space="0" w:color="auto"/>
                                          </w:divBdr>
                                          <w:divsChild>
                                            <w:div w:id="1279068649">
                                              <w:marLeft w:val="0"/>
                                              <w:marRight w:val="0"/>
                                              <w:marTop w:val="0"/>
                                              <w:marBottom w:val="0"/>
                                              <w:divBdr>
                                                <w:top w:val="none" w:sz="0" w:space="0" w:color="auto"/>
                                                <w:left w:val="none" w:sz="0" w:space="0" w:color="auto"/>
                                                <w:bottom w:val="none" w:sz="0" w:space="0" w:color="auto"/>
                                                <w:right w:val="none" w:sz="0" w:space="0" w:color="auto"/>
                                              </w:divBdr>
                                              <w:divsChild>
                                                <w:div w:id="698433449">
                                                  <w:marLeft w:val="0"/>
                                                  <w:marRight w:val="0"/>
                                                  <w:marTop w:val="0"/>
                                                  <w:marBottom w:val="0"/>
                                                  <w:divBdr>
                                                    <w:top w:val="none" w:sz="0" w:space="0" w:color="auto"/>
                                                    <w:left w:val="none" w:sz="0" w:space="0" w:color="auto"/>
                                                    <w:bottom w:val="none" w:sz="0" w:space="0" w:color="auto"/>
                                                    <w:right w:val="none" w:sz="0" w:space="0" w:color="auto"/>
                                                  </w:divBdr>
                                                  <w:divsChild>
                                                    <w:div w:id="575629731">
                                                      <w:marLeft w:val="0"/>
                                                      <w:marRight w:val="0"/>
                                                      <w:marTop w:val="0"/>
                                                      <w:marBottom w:val="0"/>
                                                      <w:divBdr>
                                                        <w:top w:val="none" w:sz="0" w:space="0" w:color="auto"/>
                                                        <w:left w:val="none" w:sz="0" w:space="0" w:color="auto"/>
                                                        <w:bottom w:val="none" w:sz="0" w:space="0" w:color="auto"/>
                                                        <w:right w:val="none" w:sz="0" w:space="0" w:color="auto"/>
                                                      </w:divBdr>
                                                      <w:divsChild>
                                                        <w:div w:id="1845824994">
                                                          <w:marLeft w:val="0"/>
                                                          <w:marRight w:val="0"/>
                                                          <w:marTop w:val="0"/>
                                                          <w:marBottom w:val="0"/>
                                                          <w:divBdr>
                                                            <w:top w:val="none" w:sz="0" w:space="0" w:color="auto"/>
                                                            <w:left w:val="none" w:sz="0" w:space="0" w:color="auto"/>
                                                            <w:bottom w:val="none" w:sz="0" w:space="0" w:color="auto"/>
                                                            <w:right w:val="none" w:sz="0" w:space="0" w:color="auto"/>
                                                          </w:divBdr>
                                                          <w:divsChild>
                                                            <w:div w:id="1641305580">
                                                              <w:marLeft w:val="0"/>
                                                              <w:marRight w:val="0"/>
                                                              <w:marTop w:val="0"/>
                                                              <w:marBottom w:val="0"/>
                                                              <w:divBdr>
                                                                <w:top w:val="none" w:sz="0" w:space="0" w:color="auto"/>
                                                                <w:left w:val="none" w:sz="0" w:space="0" w:color="auto"/>
                                                                <w:bottom w:val="none" w:sz="0" w:space="0" w:color="auto"/>
                                                                <w:right w:val="none" w:sz="0" w:space="0" w:color="auto"/>
                                                              </w:divBdr>
                                                              <w:divsChild>
                                                                <w:div w:id="210004011">
                                                                  <w:marLeft w:val="0"/>
                                                                  <w:marRight w:val="0"/>
                                                                  <w:marTop w:val="0"/>
                                                                  <w:marBottom w:val="0"/>
                                                                  <w:divBdr>
                                                                    <w:top w:val="none" w:sz="0" w:space="0" w:color="auto"/>
                                                                    <w:left w:val="none" w:sz="0" w:space="0" w:color="auto"/>
                                                                    <w:bottom w:val="none" w:sz="0" w:space="0" w:color="auto"/>
                                                                    <w:right w:val="none" w:sz="0" w:space="0" w:color="auto"/>
                                                                  </w:divBdr>
                                                                  <w:divsChild>
                                                                    <w:div w:id="1620842354">
                                                                      <w:marLeft w:val="0"/>
                                                                      <w:marRight w:val="0"/>
                                                                      <w:marTop w:val="0"/>
                                                                      <w:marBottom w:val="0"/>
                                                                      <w:divBdr>
                                                                        <w:top w:val="none" w:sz="0" w:space="0" w:color="auto"/>
                                                                        <w:left w:val="none" w:sz="0" w:space="0" w:color="auto"/>
                                                                        <w:bottom w:val="none" w:sz="0" w:space="0" w:color="auto"/>
                                                                        <w:right w:val="none" w:sz="0" w:space="0" w:color="auto"/>
                                                                      </w:divBdr>
                                                                      <w:divsChild>
                                                                        <w:div w:id="1427458696">
                                                                          <w:marLeft w:val="0"/>
                                                                          <w:marRight w:val="0"/>
                                                                          <w:marTop w:val="0"/>
                                                                          <w:marBottom w:val="0"/>
                                                                          <w:divBdr>
                                                                            <w:top w:val="none" w:sz="0" w:space="0" w:color="auto"/>
                                                                            <w:left w:val="none" w:sz="0" w:space="0" w:color="auto"/>
                                                                            <w:bottom w:val="none" w:sz="0" w:space="0" w:color="auto"/>
                                                                            <w:right w:val="none" w:sz="0" w:space="0" w:color="auto"/>
                                                                          </w:divBdr>
                                                                          <w:divsChild>
                                                                            <w:div w:id="815561589">
                                                                              <w:marLeft w:val="0"/>
                                                                              <w:marRight w:val="0"/>
                                                                              <w:marTop w:val="0"/>
                                                                              <w:marBottom w:val="0"/>
                                                                              <w:divBdr>
                                                                                <w:top w:val="none" w:sz="0" w:space="0" w:color="auto"/>
                                                                                <w:left w:val="none" w:sz="0" w:space="0" w:color="auto"/>
                                                                                <w:bottom w:val="none" w:sz="0" w:space="0" w:color="auto"/>
                                                                                <w:right w:val="none" w:sz="0" w:space="0" w:color="auto"/>
                                                                              </w:divBdr>
                                                                              <w:divsChild>
                                                                                <w:div w:id="2037924443">
                                                                                  <w:marLeft w:val="0"/>
                                                                                  <w:marRight w:val="0"/>
                                                                                  <w:marTop w:val="0"/>
                                                                                  <w:marBottom w:val="0"/>
                                                                                  <w:divBdr>
                                                                                    <w:top w:val="none" w:sz="0" w:space="0" w:color="auto"/>
                                                                                    <w:left w:val="none" w:sz="0" w:space="0" w:color="auto"/>
                                                                                    <w:bottom w:val="none" w:sz="0" w:space="0" w:color="auto"/>
                                                                                    <w:right w:val="none" w:sz="0" w:space="0" w:color="auto"/>
                                                                                  </w:divBdr>
                                                                                  <w:divsChild>
                                                                                    <w:div w:id="435103833">
                                                                                      <w:marLeft w:val="0"/>
                                                                                      <w:marRight w:val="0"/>
                                                                                      <w:marTop w:val="0"/>
                                                                                      <w:marBottom w:val="0"/>
                                                                                      <w:divBdr>
                                                                                        <w:top w:val="none" w:sz="0" w:space="0" w:color="auto"/>
                                                                                        <w:left w:val="none" w:sz="0" w:space="0" w:color="auto"/>
                                                                                        <w:bottom w:val="none" w:sz="0" w:space="0" w:color="auto"/>
                                                                                        <w:right w:val="none" w:sz="0" w:space="0" w:color="auto"/>
                                                                                      </w:divBdr>
                                                                                      <w:divsChild>
                                                                                        <w:div w:id="2059431934">
                                                                                          <w:marLeft w:val="0"/>
                                                                                          <w:marRight w:val="0"/>
                                                                                          <w:marTop w:val="0"/>
                                                                                          <w:marBottom w:val="0"/>
                                                                                          <w:divBdr>
                                                                                            <w:top w:val="none" w:sz="0" w:space="0" w:color="auto"/>
                                                                                            <w:left w:val="none" w:sz="0" w:space="0" w:color="auto"/>
                                                                                            <w:bottom w:val="none" w:sz="0" w:space="0" w:color="auto"/>
                                                                                            <w:right w:val="none" w:sz="0" w:space="0" w:color="auto"/>
                                                                                          </w:divBdr>
                                                                                          <w:divsChild>
                                                                                            <w:div w:id="1340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063814">
      <w:bodyDiv w:val="1"/>
      <w:marLeft w:val="0"/>
      <w:marRight w:val="0"/>
      <w:marTop w:val="0"/>
      <w:marBottom w:val="0"/>
      <w:divBdr>
        <w:top w:val="none" w:sz="0" w:space="0" w:color="auto"/>
        <w:left w:val="none" w:sz="0" w:space="0" w:color="auto"/>
        <w:bottom w:val="none" w:sz="0" w:space="0" w:color="auto"/>
        <w:right w:val="none" w:sz="0" w:space="0" w:color="auto"/>
      </w:divBdr>
    </w:div>
    <w:div w:id="772094527">
      <w:bodyDiv w:val="1"/>
      <w:marLeft w:val="0"/>
      <w:marRight w:val="0"/>
      <w:marTop w:val="0"/>
      <w:marBottom w:val="0"/>
      <w:divBdr>
        <w:top w:val="none" w:sz="0" w:space="0" w:color="auto"/>
        <w:left w:val="none" w:sz="0" w:space="0" w:color="auto"/>
        <w:bottom w:val="none" w:sz="0" w:space="0" w:color="auto"/>
        <w:right w:val="none" w:sz="0" w:space="0" w:color="auto"/>
      </w:divBdr>
    </w:div>
    <w:div w:id="1106923862">
      <w:bodyDiv w:val="1"/>
      <w:marLeft w:val="0"/>
      <w:marRight w:val="0"/>
      <w:marTop w:val="0"/>
      <w:marBottom w:val="0"/>
      <w:divBdr>
        <w:top w:val="none" w:sz="0" w:space="0" w:color="auto"/>
        <w:left w:val="none" w:sz="0" w:space="0" w:color="auto"/>
        <w:bottom w:val="none" w:sz="0" w:space="0" w:color="auto"/>
        <w:right w:val="none" w:sz="0" w:space="0" w:color="auto"/>
      </w:divBdr>
    </w:div>
    <w:div w:id="1781954676">
      <w:bodyDiv w:val="1"/>
      <w:marLeft w:val="0"/>
      <w:marRight w:val="0"/>
      <w:marTop w:val="0"/>
      <w:marBottom w:val="0"/>
      <w:divBdr>
        <w:top w:val="none" w:sz="0" w:space="0" w:color="auto"/>
        <w:left w:val="none" w:sz="0" w:space="0" w:color="auto"/>
        <w:bottom w:val="none" w:sz="0" w:space="0" w:color="auto"/>
        <w:right w:val="none" w:sz="0" w:space="0" w:color="auto"/>
      </w:divBdr>
      <w:divsChild>
        <w:div w:id="401755184">
          <w:marLeft w:val="144"/>
          <w:marRight w:val="0"/>
          <w:marTop w:val="240"/>
          <w:marBottom w:val="40"/>
          <w:divBdr>
            <w:top w:val="none" w:sz="0" w:space="0" w:color="auto"/>
            <w:left w:val="none" w:sz="0" w:space="0" w:color="auto"/>
            <w:bottom w:val="none" w:sz="0" w:space="0" w:color="auto"/>
            <w:right w:val="none" w:sz="0" w:space="0" w:color="auto"/>
          </w:divBdr>
        </w:div>
      </w:divsChild>
    </w:div>
    <w:div w:id="18191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2659</Words>
  <Characters>14626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Fleury</dc:creator>
  <cp:keywords/>
  <dc:description/>
  <cp:lastModifiedBy>Aude Meziani</cp:lastModifiedBy>
  <cp:revision>5</cp:revision>
  <dcterms:created xsi:type="dcterms:W3CDTF">2023-03-30T10:03:00Z</dcterms:created>
  <dcterms:modified xsi:type="dcterms:W3CDTF">2023-04-13T11:43:00Z</dcterms:modified>
</cp:coreProperties>
</file>